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6B" w:rsidRPr="004A2B30" w:rsidRDefault="0037306B">
      <w:pPr>
        <w:pStyle w:val="Normlnweb"/>
        <w:spacing w:before="0" w:beforeAutospacing="0" w:after="0" w:afterAutospacing="0"/>
        <w:jc w:val="center"/>
        <w:rPr>
          <w:rFonts w:ascii="Garamond" w:eastAsia="Times New Roman" w:hAnsi="Garamond" w:cs="Arial"/>
          <w:b/>
          <w:bCs/>
        </w:rPr>
      </w:pPr>
    </w:p>
    <w:p w:rsidR="000D1FF5" w:rsidRPr="004A2B30" w:rsidRDefault="000D1FF5">
      <w:pPr>
        <w:pStyle w:val="Normlnweb"/>
        <w:spacing w:before="0" w:beforeAutospacing="0" w:after="0" w:afterAutospacing="0"/>
        <w:jc w:val="center"/>
        <w:rPr>
          <w:rFonts w:ascii="Garamond" w:eastAsia="Times New Roman" w:hAnsi="Garamond" w:cs="Arial"/>
          <w:sz w:val="32"/>
        </w:rPr>
      </w:pPr>
      <w:r w:rsidRPr="004A2B30">
        <w:rPr>
          <w:rFonts w:ascii="Garamond" w:eastAsia="Times New Roman" w:hAnsi="Garamond" w:cs="Arial"/>
          <w:b/>
          <w:bCs/>
          <w:sz w:val="32"/>
        </w:rPr>
        <w:t xml:space="preserve">INFORMACE Okresního soudu v Trutnově dle zákona </w:t>
      </w:r>
      <w:r w:rsidR="00377629" w:rsidRPr="004A2B30">
        <w:rPr>
          <w:rFonts w:ascii="Garamond" w:eastAsia="Times New Roman" w:hAnsi="Garamond" w:cs="Arial"/>
          <w:b/>
          <w:bCs/>
          <w:sz w:val="32"/>
        </w:rPr>
        <w:br/>
      </w:r>
      <w:r w:rsidRPr="004A2B30">
        <w:rPr>
          <w:rFonts w:ascii="Garamond" w:eastAsia="Times New Roman" w:hAnsi="Garamond" w:cs="Arial"/>
          <w:b/>
          <w:bCs/>
          <w:sz w:val="32"/>
        </w:rPr>
        <w:t>č. 106/1999 Sb. o svobodném přístupu k informacím</w:t>
      </w:r>
      <w:r w:rsidRPr="004A2B30">
        <w:rPr>
          <w:rFonts w:ascii="Garamond" w:eastAsia="Times New Roman" w:hAnsi="Garamond" w:cs="Arial"/>
          <w:sz w:val="32"/>
        </w:rPr>
        <w:t xml:space="preserve"> </w:t>
      </w:r>
    </w:p>
    <w:p w:rsidR="000D1FF5" w:rsidRPr="004A2B30" w:rsidRDefault="000D1FF5">
      <w:pPr>
        <w:pStyle w:val="Normlnweb"/>
        <w:spacing w:before="0" w:beforeAutospacing="0" w:after="0" w:afterAutospacing="0"/>
        <w:rPr>
          <w:rFonts w:ascii="Garamond" w:eastAsia="Times New Roman" w:hAnsi="Garamond" w:cs="Arial"/>
        </w:rPr>
      </w:pPr>
    </w:p>
    <w:p w:rsidR="000D1FF5" w:rsidRPr="004A2B30" w:rsidRDefault="000D1FF5">
      <w:pPr>
        <w:pStyle w:val="Normlnweb"/>
        <w:numPr>
          <w:ilvl w:val="0"/>
          <w:numId w:val="36"/>
        </w:numPr>
        <w:tabs>
          <w:tab w:val="clear" w:pos="720"/>
        </w:tabs>
        <w:spacing w:before="0" w:beforeAutospacing="0" w:after="0" w:afterAutospacing="0"/>
        <w:ind w:left="0" w:firstLine="0"/>
        <w:jc w:val="both"/>
        <w:rPr>
          <w:rFonts w:ascii="Garamond" w:eastAsia="Times New Roman" w:hAnsi="Garamond" w:cs="Arial"/>
          <w:b/>
          <w:bCs/>
        </w:rPr>
      </w:pPr>
      <w:r w:rsidRPr="004A2B30">
        <w:rPr>
          <w:rFonts w:ascii="Garamond" w:eastAsia="Times New Roman" w:hAnsi="Garamond" w:cs="Arial"/>
          <w:b/>
          <w:bCs/>
        </w:rPr>
        <w:t>Důvod a způsob založení soudu</w:t>
      </w:r>
    </w:p>
    <w:p w:rsidR="000D1FF5" w:rsidRPr="004A2B30" w:rsidRDefault="000D1FF5">
      <w:pPr>
        <w:pStyle w:val="Normlnweb"/>
        <w:spacing w:before="0" w:beforeAutospacing="0" w:after="0" w:afterAutospacing="0"/>
        <w:jc w:val="both"/>
        <w:rPr>
          <w:rFonts w:ascii="Garamond" w:eastAsia="Times New Roman" w:hAnsi="Garamond" w:cs="Arial"/>
          <w:b/>
          <w:bCs/>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Soudy jsou zřízeny na základě Ústavy České republiky. Nezávislé soudy vykonávají soudní moc jménem republiky. </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Soudy jsou povolány především k tomu, aby zákonem stanoveným způsobem poskytovaly ochranu právům. Jen soud rozhoduje o vině a trestu za trestné činy. Soudci jsou při výkonu své funkce nezávislí. Jejich nestrannost nesmí nikdo ohrožovat. Soudce je při rozhodování vázán zákonem a mezinárodní smlouvou, která je součástí právního řádu; je oprávněn posoudit soulad jiného právního předpisu se zákonem nebo s takovou mezinárodní smlouvou.</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Všichni účastníci řízení mají před soudem rovná práva.</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Základem vnitřní organizace soudů jsou soudní oddělení vytvořená podle senátů nebo samosoudců.</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Okresní soudy rozhodují jako soudy prvního stupně, nestanoví-li zákony o řízení před soudy jinak a rozhodují v dalších zákonem stanovených případech.</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O</w:t>
      </w:r>
      <w:r w:rsidR="00ED5375" w:rsidRPr="004A2B30">
        <w:rPr>
          <w:rFonts w:ascii="Garamond" w:eastAsia="Times New Roman" w:hAnsi="Garamond" w:cs="Arial"/>
        </w:rPr>
        <w:t>kre</w:t>
      </w:r>
      <w:r w:rsidR="00D24D2A" w:rsidRPr="004A2B30">
        <w:rPr>
          <w:rFonts w:ascii="Garamond" w:eastAsia="Times New Roman" w:hAnsi="Garamond" w:cs="Arial"/>
        </w:rPr>
        <w:t>sní soud se skládá z předsedy</w:t>
      </w:r>
      <w:r w:rsidRPr="004A2B30">
        <w:rPr>
          <w:rFonts w:ascii="Garamond" w:eastAsia="Times New Roman" w:hAnsi="Garamond" w:cs="Arial"/>
        </w:rPr>
        <w:t xml:space="preserve"> soudu, místopředsedy nebo místopředsedů soudu, předsedů senátů a dalších soudců.</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Rozhodovací činnost okresního soudu vykonávají soudci a přísedící. Předseda a místopředseda nebo místopředsedové okresního soudu vykonávají kromě rozhodovací činnosti také státní správu okresn</w:t>
      </w:r>
      <w:r w:rsidR="00D24598" w:rsidRPr="004A2B30">
        <w:rPr>
          <w:rFonts w:ascii="Garamond" w:eastAsia="Times New Roman" w:hAnsi="Garamond" w:cs="Arial"/>
        </w:rPr>
        <w:t>ího soudu v rozsahu stanoveném z</w:t>
      </w:r>
      <w:r w:rsidRPr="004A2B30">
        <w:rPr>
          <w:rFonts w:ascii="Garamond" w:eastAsia="Times New Roman" w:hAnsi="Garamond" w:cs="Arial"/>
        </w:rPr>
        <w:t>ákonem č. 6/2002 Sb.</w:t>
      </w:r>
      <w:r w:rsidR="00D24598" w:rsidRPr="004A2B30">
        <w:rPr>
          <w:rFonts w:ascii="Garamond" w:eastAsia="Times New Roman" w:hAnsi="Garamond" w:cs="Arial"/>
        </w:rPr>
        <w:t>, o soudech a soudcích</w:t>
      </w:r>
      <w:r w:rsidR="00AF3659" w:rsidRPr="004A2B30">
        <w:rPr>
          <w:rFonts w:ascii="Garamond" w:eastAsia="Times New Roman" w:hAnsi="Garamond" w:cs="Arial"/>
        </w:rPr>
        <w:t xml:space="preserve"> (dále jen „zákon o soudech a soudcích“)</w:t>
      </w:r>
      <w:r w:rsidR="00D24598" w:rsidRPr="004A2B30">
        <w:rPr>
          <w:rFonts w:ascii="Garamond" w:eastAsia="Times New Roman" w:hAnsi="Garamond" w:cs="Arial"/>
        </w:rPr>
        <w:t>.</w:t>
      </w:r>
      <w:r w:rsidRPr="004A2B30">
        <w:rPr>
          <w:rFonts w:ascii="Garamond" w:eastAsia="Times New Roman" w:hAnsi="Garamond" w:cs="Arial"/>
        </w:rPr>
        <w:t xml:space="preserve"> Předsedové senátu kromě rozhodovací činnosti též organizují a řídí činnost senátů.</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V rozsahu stanoveném zvláštním právním předpisem se na rozhodovací činnosti okresního soudu podílejí vyšší soudní úředníci, </w:t>
      </w:r>
      <w:r w:rsidR="00ED5375" w:rsidRPr="004A2B30">
        <w:rPr>
          <w:rFonts w:ascii="Garamond" w:eastAsia="Times New Roman" w:hAnsi="Garamond" w:cs="Arial"/>
        </w:rPr>
        <w:t>asistenti soudců</w:t>
      </w:r>
      <w:r w:rsidRPr="004A2B30">
        <w:rPr>
          <w:rFonts w:ascii="Garamond" w:eastAsia="Times New Roman" w:hAnsi="Garamond" w:cs="Arial"/>
        </w:rPr>
        <w:t>, soudní tajemníci a soudní vykonavatelé.</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Okresní soud rozhoduje v případech stanovených zákony o řízení před soudy v senátech; </w:t>
      </w:r>
      <w:r w:rsidR="00377629" w:rsidRPr="004A2B30">
        <w:rPr>
          <w:rFonts w:ascii="Garamond" w:eastAsia="Times New Roman" w:hAnsi="Garamond" w:cs="Arial"/>
        </w:rPr>
        <w:br/>
      </w:r>
      <w:r w:rsidRPr="004A2B30">
        <w:rPr>
          <w:rFonts w:ascii="Garamond" w:eastAsia="Times New Roman" w:hAnsi="Garamond" w:cs="Arial"/>
        </w:rPr>
        <w:t>v ostatních případech rozhoduje samosoudcem. Senáty okresního soudu se skládají z předsedy senátu a 2 přísedících. Samosoudcem je předseda senátu nebo soudce. Předsedou senátu může být pouze soudce.</w:t>
      </w:r>
    </w:p>
    <w:p w:rsidR="000E5CEC" w:rsidRPr="004A2B30" w:rsidRDefault="000E5CEC" w:rsidP="000E5CEC">
      <w:pPr>
        <w:pStyle w:val="Normlnweb"/>
        <w:spacing w:before="0" w:beforeAutospacing="0" w:after="0" w:afterAutospacing="0"/>
        <w:jc w:val="both"/>
        <w:rPr>
          <w:rFonts w:ascii="Garamond" w:eastAsia="Times New Roman" w:hAnsi="Garamond" w:cs="Arial"/>
        </w:rPr>
      </w:pPr>
    </w:p>
    <w:p w:rsidR="000D1FF5" w:rsidRPr="004A2B30" w:rsidRDefault="00D24D2A"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Předseda</w:t>
      </w:r>
      <w:r w:rsidR="000D1FF5" w:rsidRPr="004A2B30">
        <w:rPr>
          <w:rFonts w:ascii="Garamond" w:eastAsia="Times New Roman" w:hAnsi="Garamond" w:cs="Arial"/>
        </w:rPr>
        <w:t xml:space="preserve"> okresního soudu dává na základě pravomocných rozhodnutí okresního soudu Nejvyššímu soudu podněty ke sjednocení rozhodování soudů.</w:t>
      </w:r>
    </w:p>
    <w:p w:rsidR="000D1FF5" w:rsidRPr="004A2B30" w:rsidRDefault="000D1FF5">
      <w:pPr>
        <w:pStyle w:val="Normlnweb"/>
        <w:spacing w:before="0" w:beforeAutospacing="0" w:after="0" w:afterAutospacing="0"/>
        <w:jc w:val="both"/>
        <w:rPr>
          <w:rFonts w:ascii="Garamond" w:eastAsia="Times New Roman" w:hAnsi="Garamond" w:cs="Arial"/>
          <w:b/>
          <w:bCs/>
        </w:rPr>
      </w:pPr>
    </w:p>
    <w:p w:rsidR="000D1FF5" w:rsidRPr="004A2B30" w:rsidRDefault="000D1FF5">
      <w:pPr>
        <w:pStyle w:val="Normlnweb"/>
        <w:numPr>
          <w:ilvl w:val="0"/>
          <w:numId w:val="36"/>
        </w:numPr>
        <w:tabs>
          <w:tab w:val="clear" w:pos="720"/>
        </w:tabs>
        <w:spacing w:before="0" w:beforeAutospacing="0" w:after="0" w:afterAutospacing="0"/>
        <w:ind w:left="0" w:firstLine="0"/>
        <w:jc w:val="both"/>
        <w:rPr>
          <w:rFonts w:ascii="Garamond" w:eastAsia="Times New Roman" w:hAnsi="Garamond" w:cs="Arial"/>
          <w:b/>
          <w:bCs/>
        </w:rPr>
      </w:pPr>
      <w:r w:rsidRPr="004A2B30">
        <w:rPr>
          <w:rFonts w:ascii="Garamond" w:eastAsia="Times New Roman" w:hAnsi="Garamond" w:cs="Arial"/>
          <w:b/>
          <w:bCs/>
        </w:rPr>
        <w:t>Organizační struktura Okresního soudu v Trutnově</w:t>
      </w:r>
    </w:p>
    <w:p w:rsidR="000D1FF5" w:rsidRPr="004A2B30" w:rsidRDefault="000D1FF5">
      <w:pPr>
        <w:pStyle w:val="Normlnweb"/>
        <w:spacing w:before="0" w:beforeAutospacing="0" w:after="0" w:afterAutospacing="0"/>
        <w:jc w:val="both"/>
        <w:rPr>
          <w:rFonts w:ascii="Garamond" w:eastAsia="Times New Roman" w:hAnsi="Garamond" w:cs="Arial"/>
          <w:b/>
          <w:bCs/>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Okresní </w:t>
      </w:r>
      <w:r w:rsidR="00D24D2A" w:rsidRPr="004A2B30">
        <w:rPr>
          <w:rFonts w:ascii="Garamond" w:eastAsia="Times New Roman" w:hAnsi="Garamond" w:cs="Arial"/>
        </w:rPr>
        <w:t>soud v Trutnově řídí předseda soudu a místopředsedové.</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Na období </w:t>
      </w:r>
      <w:r w:rsidR="00ED5375" w:rsidRPr="004A2B30">
        <w:rPr>
          <w:rFonts w:ascii="Garamond" w:eastAsia="Times New Roman" w:hAnsi="Garamond" w:cs="Arial"/>
        </w:rPr>
        <w:t>k</w:t>
      </w:r>
      <w:r w:rsidR="00D24D2A" w:rsidRPr="004A2B30">
        <w:rPr>
          <w:rFonts w:ascii="Garamond" w:eastAsia="Times New Roman" w:hAnsi="Garamond" w:cs="Arial"/>
        </w:rPr>
        <w:t>alendářního roku předseda</w:t>
      </w:r>
      <w:r w:rsidRPr="004A2B30">
        <w:rPr>
          <w:rFonts w:ascii="Garamond" w:eastAsia="Times New Roman" w:hAnsi="Garamond" w:cs="Arial"/>
        </w:rPr>
        <w:t xml:space="preserve"> soudu po projednání se soudcovskou radou (která </w:t>
      </w:r>
      <w:r w:rsidR="00377629" w:rsidRPr="004A2B30">
        <w:rPr>
          <w:rFonts w:ascii="Garamond" w:eastAsia="Times New Roman" w:hAnsi="Garamond" w:cs="Arial"/>
        </w:rPr>
        <w:br/>
      </w:r>
      <w:r w:rsidRPr="004A2B30">
        <w:rPr>
          <w:rFonts w:ascii="Garamond" w:eastAsia="Times New Roman" w:hAnsi="Garamond" w:cs="Arial"/>
        </w:rPr>
        <w:t xml:space="preserve">se zřizuje u okresních soudů, k němuž je přiděleno nebo přeloženo k výkonu funkce více než </w:t>
      </w:r>
      <w:r w:rsidR="00377629" w:rsidRPr="004A2B30">
        <w:rPr>
          <w:rFonts w:ascii="Garamond" w:eastAsia="Times New Roman" w:hAnsi="Garamond" w:cs="Arial"/>
        </w:rPr>
        <w:br/>
      </w:r>
      <w:r w:rsidRPr="004A2B30">
        <w:rPr>
          <w:rFonts w:ascii="Garamond" w:eastAsia="Times New Roman" w:hAnsi="Garamond" w:cs="Arial"/>
        </w:rPr>
        <w:t>10 soudů) vydává rozvrh práce, kterým stanoví způsob rozdělení věcí mezi jednotlivá soudní oddělení, která se vytvářejí pro jednotlivé senáty a samosoudce. Zároveň jmenovitě určí soudce, přísedící, vyšší soudní úředníky, soudní tajemníky a soudní vykonavatele pro působení</w:t>
      </w:r>
      <w:r w:rsidR="002A53A1" w:rsidRPr="004A2B30">
        <w:rPr>
          <w:rFonts w:ascii="Garamond" w:eastAsia="Times New Roman" w:hAnsi="Garamond" w:cs="Arial"/>
        </w:rPr>
        <w:t xml:space="preserve"> </w:t>
      </w:r>
      <w:r w:rsidRPr="004A2B30">
        <w:rPr>
          <w:rFonts w:ascii="Garamond" w:eastAsia="Times New Roman" w:hAnsi="Garamond" w:cs="Arial"/>
        </w:rPr>
        <w:t>v jednotlivých oddělení</w:t>
      </w:r>
      <w:r w:rsidR="002A53A1" w:rsidRPr="004A2B30">
        <w:rPr>
          <w:rFonts w:ascii="Garamond" w:eastAsia="Times New Roman" w:hAnsi="Garamond" w:cs="Arial"/>
        </w:rPr>
        <w:t>ch</w:t>
      </w:r>
      <w:r w:rsidRPr="004A2B30">
        <w:rPr>
          <w:rFonts w:ascii="Garamond" w:eastAsia="Times New Roman" w:hAnsi="Garamond" w:cs="Arial"/>
        </w:rPr>
        <w:t xml:space="preserve"> a stanoví jejich zastupování. </w:t>
      </w:r>
    </w:p>
    <w:p w:rsidR="004B5295" w:rsidRPr="004A2B30" w:rsidRDefault="004B5295" w:rsidP="000E5CEC">
      <w:pPr>
        <w:pStyle w:val="Normlnweb"/>
        <w:spacing w:before="0" w:beforeAutospacing="0" w:after="0" w:afterAutospacing="0"/>
        <w:jc w:val="both"/>
        <w:rPr>
          <w:rFonts w:ascii="Garamond" w:eastAsia="Times New Roman" w:hAnsi="Garamond" w:cs="Arial"/>
        </w:rPr>
      </w:pPr>
    </w:p>
    <w:p w:rsidR="004B5295" w:rsidRPr="004A2B30" w:rsidRDefault="004B529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b/>
        </w:rPr>
        <w:t>Webové stránky</w:t>
      </w:r>
      <w:r w:rsidRPr="004A2B30">
        <w:rPr>
          <w:rFonts w:ascii="Garamond" w:eastAsia="Times New Roman" w:hAnsi="Garamond" w:cs="Arial"/>
        </w:rPr>
        <w:t xml:space="preserve"> soudu jsou dostupné na adrese: </w:t>
      </w:r>
      <w:hyperlink r:id="rId9" w:history="1">
        <w:r w:rsidRPr="004A2B30">
          <w:rPr>
            <w:rStyle w:val="Hypertextovodkaz"/>
            <w:rFonts w:ascii="Garamond" w:eastAsia="Times New Roman" w:hAnsi="Garamond" w:cs="Arial"/>
          </w:rPr>
          <w:t>https://www.justice.cz/web/okresni-soud-v-trutnove</w:t>
        </w:r>
      </w:hyperlink>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b/>
          <w:bCs/>
        </w:rPr>
        <w:t>Informace o stavu řízení včetně právní moci</w:t>
      </w:r>
      <w:r w:rsidRPr="004A2B30">
        <w:rPr>
          <w:rFonts w:ascii="Garamond" w:eastAsia="Times New Roman" w:hAnsi="Garamond" w:cs="Arial"/>
        </w:rPr>
        <w:t xml:space="preserve"> rozhodnutí je možné získat na Informačním centru Okresního soudu v Trutnově osobně v budově so</w:t>
      </w:r>
      <w:r w:rsidR="00ED5375" w:rsidRPr="004A2B30">
        <w:rPr>
          <w:rFonts w:ascii="Garamond" w:eastAsia="Times New Roman" w:hAnsi="Garamond" w:cs="Arial"/>
        </w:rPr>
        <w:t>udu v přízemí na čísle dveří 102</w:t>
      </w:r>
      <w:r w:rsidRPr="004A2B30">
        <w:rPr>
          <w:rFonts w:ascii="Garamond" w:eastAsia="Times New Roman" w:hAnsi="Garamond" w:cs="Arial"/>
        </w:rPr>
        <w:t xml:space="preserve"> nebo </w:t>
      </w:r>
      <w:r w:rsidR="00377629" w:rsidRPr="004A2B30">
        <w:rPr>
          <w:rFonts w:ascii="Garamond" w:eastAsia="Times New Roman" w:hAnsi="Garamond" w:cs="Arial"/>
        </w:rPr>
        <w:br/>
      </w:r>
      <w:r w:rsidRPr="004A2B30">
        <w:rPr>
          <w:rFonts w:ascii="Garamond" w:eastAsia="Times New Roman" w:hAnsi="Garamond" w:cs="Arial"/>
        </w:rPr>
        <w:t>na telefonním čísl</w:t>
      </w:r>
      <w:r w:rsidR="00FA70FF" w:rsidRPr="004A2B30">
        <w:rPr>
          <w:rFonts w:ascii="Garamond" w:eastAsia="Times New Roman" w:hAnsi="Garamond" w:cs="Arial"/>
        </w:rPr>
        <w:t>e 499 857 212. O službách, které</w:t>
      </w:r>
      <w:r w:rsidRPr="004A2B30">
        <w:rPr>
          <w:rFonts w:ascii="Garamond" w:eastAsia="Times New Roman" w:hAnsi="Garamond" w:cs="Arial"/>
        </w:rPr>
        <w:t xml:space="preserve"> poskytuje informační centrum včetně pracovní doby</w:t>
      </w:r>
      <w:r w:rsidR="00FA70FF" w:rsidRPr="004A2B30">
        <w:rPr>
          <w:rFonts w:ascii="Garamond" w:eastAsia="Times New Roman" w:hAnsi="Garamond" w:cs="Arial"/>
        </w:rPr>
        <w:t>,</w:t>
      </w:r>
      <w:r w:rsidRPr="004A2B30">
        <w:rPr>
          <w:rFonts w:ascii="Garamond" w:eastAsia="Times New Roman" w:hAnsi="Garamond" w:cs="Arial"/>
        </w:rPr>
        <w:t xml:space="preserve"> je možné se informovat na adrese</w:t>
      </w:r>
      <w:r w:rsidR="00143632" w:rsidRPr="004A2B30">
        <w:rPr>
          <w:rFonts w:ascii="Garamond" w:eastAsia="Times New Roman" w:hAnsi="Garamond" w:cs="Arial"/>
        </w:rPr>
        <w:t>:</w:t>
      </w:r>
      <w:r w:rsidRPr="004A2B30">
        <w:rPr>
          <w:rFonts w:ascii="Garamond" w:eastAsia="Times New Roman" w:hAnsi="Garamond" w:cs="Arial"/>
        </w:rPr>
        <w:t xml:space="preserve"> </w:t>
      </w:r>
      <w:hyperlink r:id="rId10" w:history="1">
        <w:r w:rsidR="00143632" w:rsidRPr="004A2B30">
          <w:rPr>
            <w:rStyle w:val="Hypertextovodkaz"/>
            <w:rFonts w:ascii="Garamond" w:eastAsia="Times New Roman" w:hAnsi="Garamond" w:cs="Arial"/>
          </w:rPr>
          <w:t>https://www.justice.cz/web/okresni-soud-v-trutnove/zakladni-informace?clanek=informacni-centrum</w:t>
        </w:r>
      </w:hyperlink>
      <w:r w:rsidR="00143632" w:rsidRPr="004A2B30">
        <w:rPr>
          <w:rFonts w:ascii="Garamond" w:eastAsia="Times New Roman" w:hAnsi="Garamond" w:cs="Arial"/>
          <w:color w:val="0070C0"/>
          <w:u w:val="single"/>
        </w:rPr>
        <w:t>.</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0D1FF5">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b/>
          <w:bCs/>
        </w:rPr>
        <w:t>Nové návrhy a další podání k soudu</w:t>
      </w:r>
      <w:r w:rsidRPr="004A2B30">
        <w:rPr>
          <w:rFonts w:ascii="Garamond" w:eastAsia="Times New Roman" w:hAnsi="Garamond" w:cs="Arial"/>
        </w:rPr>
        <w:t xml:space="preserve"> je možné učinit osobně v budově soudu v přízemí na čísle dveří 105 nebo v elektronické podobě. O podobě elektronických podání j</w:t>
      </w:r>
      <w:r w:rsidR="00143632" w:rsidRPr="004A2B30">
        <w:rPr>
          <w:rFonts w:ascii="Garamond" w:eastAsia="Times New Roman" w:hAnsi="Garamond" w:cs="Arial"/>
        </w:rPr>
        <w:t xml:space="preserve">e možné </w:t>
      </w:r>
      <w:r w:rsidR="00377629" w:rsidRPr="004A2B30">
        <w:rPr>
          <w:rFonts w:ascii="Garamond" w:eastAsia="Times New Roman" w:hAnsi="Garamond" w:cs="Arial"/>
        </w:rPr>
        <w:br/>
      </w:r>
      <w:r w:rsidR="00143632" w:rsidRPr="004A2B30">
        <w:rPr>
          <w:rFonts w:ascii="Garamond" w:eastAsia="Times New Roman" w:hAnsi="Garamond" w:cs="Arial"/>
        </w:rPr>
        <w:t xml:space="preserve">se informovat na adrese: </w:t>
      </w:r>
      <w:hyperlink r:id="rId11" w:history="1">
        <w:r w:rsidR="00143632" w:rsidRPr="004A2B30">
          <w:rPr>
            <w:rStyle w:val="Hypertextovodkaz"/>
            <w:rFonts w:ascii="Garamond" w:eastAsia="Times New Roman" w:hAnsi="Garamond" w:cs="Arial"/>
          </w:rPr>
          <w:t>https://www.justice.cz/web/okresni-soud-v-trutnove/zakladni-informace?clanek=parametry-elektronickeho-podani</w:t>
        </w:r>
      </w:hyperlink>
      <w:r w:rsidRPr="004A2B30">
        <w:rPr>
          <w:rFonts w:ascii="Garamond" w:eastAsia="Times New Roman" w:hAnsi="Garamond" w:cs="Arial"/>
        </w:rPr>
        <w:t>.</w:t>
      </w:r>
      <w:r w:rsidR="00BC4349" w:rsidRPr="004A2B30">
        <w:rPr>
          <w:rFonts w:ascii="Garamond" w:eastAsia="Times New Roman" w:hAnsi="Garamond" w:cs="Arial"/>
        </w:rPr>
        <w:t xml:space="preserve"> </w:t>
      </w:r>
      <w:r w:rsidRPr="004A2B30">
        <w:rPr>
          <w:rFonts w:ascii="Garamond" w:eastAsia="Times New Roman" w:hAnsi="Garamond" w:cs="Arial"/>
        </w:rPr>
        <w:t xml:space="preserve"> </w:t>
      </w:r>
    </w:p>
    <w:p w:rsidR="000D1FF5" w:rsidRPr="004A2B30" w:rsidRDefault="000D1FF5">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b/>
          <w:bCs/>
        </w:rPr>
        <w:t>Návštěvní hodiny u předsedkyně soudu</w:t>
      </w:r>
      <w:r w:rsidRPr="004A2B30">
        <w:rPr>
          <w:rFonts w:ascii="Garamond" w:eastAsia="Times New Roman" w:hAnsi="Garamond" w:cs="Arial"/>
        </w:rPr>
        <w:t xml:space="preserve"> js</w:t>
      </w:r>
      <w:r w:rsidR="00ED5375" w:rsidRPr="004A2B30">
        <w:rPr>
          <w:rFonts w:ascii="Garamond" w:eastAsia="Times New Roman" w:hAnsi="Garamond" w:cs="Arial"/>
        </w:rPr>
        <w:t>ou po předchozím objednání každé</w:t>
      </w:r>
      <w:r w:rsidRPr="004A2B30">
        <w:rPr>
          <w:rFonts w:ascii="Garamond" w:eastAsia="Times New Roman" w:hAnsi="Garamond" w:cs="Arial"/>
        </w:rPr>
        <w:t xml:space="preserve"> </w:t>
      </w:r>
      <w:r w:rsidR="00ED5375" w:rsidRPr="004A2B30">
        <w:rPr>
          <w:rFonts w:ascii="Garamond" w:eastAsia="Times New Roman" w:hAnsi="Garamond" w:cs="Arial"/>
        </w:rPr>
        <w:t>pondělí</w:t>
      </w:r>
      <w:r w:rsidRPr="004A2B30">
        <w:rPr>
          <w:rFonts w:ascii="Garamond" w:eastAsia="Times New Roman" w:hAnsi="Garamond" w:cs="Arial"/>
        </w:rPr>
        <w:t xml:space="preserve"> </w:t>
      </w:r>
      <w:r w:rsidR="00377629" w:rsidRPr="004A2B30">
        <w:rPr>
          <w:rFonts w:ascii="Garamond" w:eastAsia="Times New Roman" w:hAnsi="Garamond" w:cs="Arial"/>
        </w:rPr>
        <w:br/>
      </w:r>
      <w:r w:rsidRPr="004A2B30">
        <w:rPr>
          <w:rFonts w:ascii="Garamond" w:eastAsia="Times New Roman" w:hAnsi="Garamond" w:cs="Arial"/>
        </w:rPr>
        <w:t xml:space="preserve">od 13.00 do 14.00 hodin. </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color w:val="0070C0"/>
          <w:u w:val="single"/>
        </w:rPr>
      </w:pPr>
      <w:r w:rsidRPr="004A2B30">
        <w:rPr>
          <w:rFonts w:ascii="Garamond" w:eastAsia="Times New Roman" w:hAnsi="Garamond" w:cs="Arial"/>
          <w:b/>
          <w:bCs/>
        </w:rPr>
        <w:t>Informace o podání stížnosti</w:t>
      </w:r>
      <w:r w:rsidRPr="004A2B30">
        <w:rPr>
          <w:rFonts w:ascii="Garamond" w:eastAsia="Times New Roman" w:hAnsi="Garamond" w:cs="Arial"/>
        </w:rPr>
        <w:t xml:space="preserve"> je možné získat na adrese</w:t>
      </w:r>
      <w:r w:rsidR="00143632" w:rsidRPr="004A2B30">
        <w:rPr>
          <w:rFonts w:ascii="Garamond" w:eastAsia="Times New Roman" w:hAnsi="Garamond" w:cs="Arial"/>
        </w:rPr>
        <w:t xml:space="preserve">: </w:t>
      </w:r>
      <w:hyperlink r:id="rId12" w:history="1">
        <w:r w:rsidR="00143632" w:rsidRPr="004A2B30">
          <w:rPr>
            <w:rStyle w:val="Hypertextovodkaz"/>
            <w:rFonts w:ascii="Garamond" w:eastAsia="Times New Roman" w:hAnsi="Garamond" w:cs="Arial"/>
          </w:rPr>
          <w:t>https://www.justice.cz/web/okresni-soud-v-trutnove/uredni-deska</w:t>
        </w:r>
      </w:hyperlink>
      <w:r w:rsidRPr="004A2B30">
        <w:rPr>
          <w:rFonts w:ascii="Garamond" w:eastAsia="Times New Roman" w:hAnsi="Garamond" w:cs="Arial"/>
          <w:color w:val="0070C0"/>
          <w:u w:val="single"/>
        </w:rPr>
        <w:t>.</w:t>
      </w:r>
    </w:p>
    <w:p w:rsidR="000D1FF5" w:rsidRPr="004A2B30" w:rsidRDefault="000D1FF5" w:rsidP="000E5CEC">
      <w:pPr>
        <w:pStyle w:val="Normlnweb"/>
        <w:spacing w:before="0" w:beforeAutospacing="0" w:after="0" w:afterAutospacing="0"/>
        <w:jc w:val="both"/>
        <w:rPr>
          <w:rFonts w:ascii="Garamond" w:eastAsia="Times New Roman" w:hAnsi="Garamond" w:cs="Arial"/>
        </w:rPr>
      </w:pPr>
    </w:p>
    <w:p w:rsidR="000D1FF5" w:rsidRPr="004A2B30" w:rsidRDefault="000D1FF5">
      <w:pPr>
        <w:pStyle w:val="Normlnweb"/>
        <w:numPr>
          <w:ilvl w:val="0"/>
          <w:numId w:val="36"/>
        </w:numPr>
        <w:tabs>
          <w:tab w:val="clear" w:pos="720"/>
        </w:tabs>
        <w:spacing w:before="0" w:beforeAutospacing="0" w:after="0" w:afterAutospacing="0"/>
        <w:ind w:left="0" w:firstLine="0"/>
        <w:jc w:val="both"/>
        <w:rPr>
          <w:rFonts w:ascii="Garamond" w:eastAsia="Times New Roman" w:hAnsi="Garamond" w:cs="Arial"/>
          <w:b/>
          <w:bCs/>
        </w:rPr>
      </w:pPr>
      <w:r w:rsidRPr="004A2B30">
        <w:rPr>
          <w:rFonts w:ascii="Garamond" w:eastAsia="Times New Roman" w:hAnsi="Garamond" w:cs="Arial"/>
          <w:b/>
          <w:bCs/>
        </w:rPr>
        <w:t>Opravné prostředky</w:t>
      </w:r>
    </w:p>
    <w:p w:rsidR="000D1FF5" w:rsidRPr="004A2B30" w:rsidRDefault="000D1FF5">
      <w:pPr>
        <w:pStyle w:val="Normlnweb"/>
        <w:spacing w:before="0" w:beforeAutospacing="0" w:after="0" w:afterAutospacing="0"/>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V občanskoprávním řízení účastník může napadnout rozhodnutí okresního soudu vydané v řízení v prvním stupni odvoláním, pokud to zákon nevylučuje. Druhy odvolání a náležitosti odvolání jsou stanoveny</w:t>
      </w:r>
      <w:r w:rsidR="009C70FE" w:rsidRPr="004A2B30">
        <w:rPr>
          <w:rFonts w:ascii="Garamond" w:eastAsia="Times New Roman" w:hAnsi="Garamond" w:cs="Arial"/>
        </w:rPr>
        <w:t xml:space="preserve"> zákonem č. 99/1963 Sb., </w:t>
      </w:r>
      <w:r w:rsidRPr="004A2B30">
        <w:rPr>
          <w:rFonts w:ascii="Garamond" w:eastAsia="Times New Roman" w:hAnsi="Garamond" w:cs="Arial"/>
        </w:rPr>
        <w:t>občanský soudní řád</w:t>
      </w:r>
      <w:r w:rsidR="009C70FE" w:rsidRPr="004A2B30">
        <w:rPr>
          <w:rFonts w:ascii="Garamond" w:eastAsia="Times New Roman" w:hAnsi="Garamond" w:cs="Arial"/>
        </w:rPr>
        <w:t xml:space="preserve"> (dále jen „o. s. ř.“)</w:t>
      </w:r>
      <w:r w:rsidRPr="004A2B30">
        <w:rPr>
          <w:rFonts w:ascii="Garamond" w:eastAsia="Times New Roman" w:hAnsi="Garamond" w:cs="Arial"/>
        </w:rPr>
        <w:t>. Opravný prostředek se adresuje soudu, proti jehož rozhodnutí odvolání směřuje do 15 dnů od doručení písemného</w:t>
      </w:r>
      <w:r w:rsidR="009C70FE" w:rsidRPr="004A2B30">
        <w:rPr>
          <w:rFonts w:ascii="Garamond" w:eastAsia="Times New Roman" w:hAnsi="Garamond" w:cs="Arial"/>
        </w:rPr>
        <w:t xml:space="preserve"> vyhotovení takového rozhodnutí</w:t>
      </w:r>
      <w:r w:rsidR="003F14A5" w:rsidRPr="004A2B30">
        <w:rPr>
          <w:rFonts w:ascii="Garamond" w:eastAsia="Times New Roman" w:hAnsi="Garamond" w:cs="Arial"/>
        </w:rPr>
        <w:t xml:space="preserve"> (viz § 201</w:t>
      </w:r>
      <w:r w:rsidR="00BF559E" w:rsidRPr="004A2B30">
        <w:rPr>
          <w:rFonts w:ascii="Garamond" w:eastAsia="Times New Roman" w:hAnsi="Garamond" w:cs="Arial"/>
        </w:rPr>
        <w:t>–227</w:t>
      </w:r>
      <w:r w:rsidRPr="004A2B30">
        <w:rPr>
          <w:rFonts w:ascii="Garamond" w:eastAsia="Times New Roman" w:hAnsi="Garamond" w:cs="Arial"/>
        </w:rPr>
        <w:t xml:space="preserve"> o.s.ř.).</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0D1FF5">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V trestním řízení účastník může napadnout rozhodnutí okresního soudu vydané v řízení v </w:t>
      </w:r>
      <w:r w:rsidR="006D4D03" w:rsidRPr="004A2B30">
        <w:rPr>
          <w:rFonts w:ascii="Garamond" w:eastAsia="Times New Roman" w:hAnsi="Garamond" w:cs="Arial"/>
        </w:rPr>
        <w:t xml:space="preserve">prvním stupni odporem (§ </w:t>
      </w:r>
      <w:r w:rsidRPr="004A2B30">
        <w:rPr>
          <w:rFonts w:ascii="Garamond" w:eastAsia="Times New Roman" w:hAnsi="Garamond" w:cs="Arial"/>
        </w:rPr>
        <w:t>314g</w:t>
      </w:r>
      <w:r w:rsidR="009C70FE" w:rsidRPr="004A2B30">
        <w:rPr>
          <w:rFonts w:ascii="Garamond" w:eastAsia="Times New Roman" w:hAnsi="Garamond" w:cs="Arial"/>
        </w:rPr>
        <w:t xml:space="preserve"> zákona č. 141/1961 Sb., trestní řád (dále jen „</w:t>
      </w:r>
      <w:proofErr w:type="spellStart"/>
      <w:r w:rsidRPr="004A2B30">
        <w:rPr>
          <w:rFonts w:ascii="Garamond" w:eastAsia="Times New Roman" w:hAnsi="Garamond" w:cs="Arial"/>
        </w:rPr>
        <w:t>tr</w:t>
      </w:r>
      <w:proofErr w:type="spellEnd"/>
      <w:r w:rsidRPr="004A2B30">
        <w:rPr>
          <w:rFonts w:ascii="Garamond" w:eastAsia="Times New Roman" w:hAnsi="Garamond" w:cs="Arial"/>
        </w:rPr>
        <w:t>.</w:t>
      </w:r>
      <w:r w:rsidR="009C70FE" w:rsidRPr="004A2B30">
        <w:rPr>
          <w:rFonts w:ascii="Garamond" w:eastAsia="Times New Roman" w:hAnsi="Garamond" w:cs="Arial"/>
        </w:rPr>
        <w:t xml:space="preserve"> </w:t>
      </w:r>
      <w:r w:rsidRPr="004A2B30">
        <w:rPr>
          <w:rFonts w:ascii="Garamond" w:eastAsia="Times New Roman" w:hAnsi="Garamond" w:cs="Arial"/>
        </w:rPr>
        <w:t>ř.</w:t>
      </w:r>
      <w:r w:rsidR="009C70FE" w:rsidRPr="004A2B30">
        <w:rPr>
          <w:rFonts w:ascii="Garamond" w:eastAsia="Times New Roman" w:hAnsi="Garamond" w:cs="Arial"/>
        </w:rPr>
        <w:t>“</w:t>
      </w:r>
      <w:r w:rsidRPr="004A2B30">
        <w:rPr>
          <w:rFonts w:ascii="Garamond" w:eastAsia="Times New Roman" w:hAnsi="Garamond" w:cs="Arial"/>
        </w:rPr>
        <w:t>) stížností (§</w:t>
      </w:r>
      <w:r w:rsidR="003F14A5" w:rsidRPr="004A2B30">
        <w:rPr>
          <w:rFonts w:ascii="Garamond" w:eastAsia="Times New Roman" w:hAnsi="Garamond" w:cs="Arial"/>
        </w:rPr>
        <w:t xml:space="preserve"> </w:t>
      </w:r>
      <w:r w:rsidRPr="004A2B30">
        <w:rPr>
          <w:rFonts w:ascii="Garamond" w:eastAsia="Times New Roman" w:hAnsi="Garamond" w:cs="Arial"/>
        </w:rPr>
        <w:t xml:space="preserve">141-150 </w:t>
      </w:r>
      <w:proofErr w:type="spellStart"/>
      <w:r w:rsidRPr="004A2B30">
        <w:rPr>
          <w:rFonts w:ascii="Garamond" w:eastAsia="Times New Roman" w:hAnsi="Garamond" w:cs="Arial"/>
        </w:rPr>
        <w:t>tr</w:t>
      </w:r>
      <w:proofErr w:type="spellEnd"/>
      <w:r w:rsidRPr="004A2B30">
        <w:rPr>
          <w:rFonts w:ascii="Garamond" w:eastAsia="Times New Roman" w:hAnsi="Garamond" w:cs="Arial"/>
        </w:rPr>
        <w:t>.</w:t>
      </w:r>
      <w:r w:rsidR="00510A89" w:rsidRPr="004A2B30">
        <w:rPr>
          <w:rFonts w:ascii="Garamond" w:eastAsia="Times New Roman" w:hAnsi="Garamond" w:cs="Arial"/>
        </w:rPr>
        <w:t xml:space="preserve"> </w:t>
      </w:r>
      <w:r w:rsidR="003F14A5" w:rsidRPr="004A2B30">
        <w:rPr>
          <w:rFonts w:ascii="Garamond" w:eastAsia="Times New Roman" w:hAnsi="Garamond" w:cs="Arial"/>
        </w:rPr>
        <w:t>ř.) nebo odvoláním (§ 245–</w:t>
      </w:r>
      <w:r w:rsidRPr="004A2B30">
        <w:rPr>
          <w:rFonts w:ascii="Garamond" w:eastAsia="Times New Roman" w:hAnsi="Garamond" w:cs="Arial"/>
        </w:rPr>
        <w:t>26</w:t>
      </w:r>
      <w:r w:rsidR="002A53A1" w:rsidRPr="004A2B30">
        <w:rPr>
          <w:rFonts w:ascii="Garamond" w:eastAsia="Times New Roman" w:hAnsi="Garamond" w:cs="Arial"/>
        </w:rPr>
        <w:t>4</w:t>
      </w:r>
      <w:r w:rsidRPr="004A2B30">
        <w:rPr>
          <w:rFonts w:ascii="Garamond" w:eastAsia="Times New Roman" w:hAnsi="Garamond" w:cs="Arial"/>
        </w:rPr>
        <w:t xml:space="preserve"> </w:t>
      </w:r>
      <w:proofErr w:type="spellStart"/>
      <w:r w:rsidRPr="004A2B30">
        <w:rPr>
          <w:rFonts w:ascii="Garamond" w:eastAsia="Times New Roman" w:hAnsi="Garamond" w:cs="Arial"/>
        </w:rPr>
        <w:t>tr</w:t>
      </w:r>
      <w:proofErr w:type="spellEnd"/>
      <w:r w:rsidRPr="004A2B30">
        <w:rPr>
          <w:rFonts w:ascii="Garamond" w:eastAsia="Times New Roman" w:hAnsi="Garamond" w:cs="Arial"/>
        </w:rPr>
        <w:t>.</w:t>
      </w:r>
      <w:r w:rsidR="00510A89" w:rsidRPr="004A2B30">
        <w:rPr>
          <w:rFonts w:ascii="Garamond" w:eastAsia="Times New Roman" w:hAnsi="Garamond" w:cs="Arial"/>
        </w:rPr>
        <w:t xml:space="preserve"> </w:t>
      </w:r>
      <w:r w:rsidRPr="004A2B30">
        <w:rPr>
          <w:rFonts w:ascii="Garamond" w:eastAsia="Times New Roman" w:hAnsi="Garamond" w:cs="Arial"/>
        </w:rPr>
        <w:t>ř.). Odpor se podává u soudu, který trestní příkaz vydal do osmi dnů od jeho doručení, stížnost se podává u orgánu, proti jehož usnesení stížnost směřuje do tří dnů od oznámení usnesení a odvolání se podává u soudu, proti jehož rozsudku směřuje do osmi dnů od doručení opisu rozsudku.</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Informace o možnosti podat opravný prostředek obsahují jednotlivá rozhodnutí v poučení </w:t>
      </w:r>
      <w:r w:rsidR="00377629" w:rsidRPr="004A2B30">
        <w:rPr>
          <w:rFonts w:ascii="Garamond" w:eastAsia="Times New Roman" w:hAnsi="Garamond" w:cs="Arial"/>
        </w:rPr>
        <w:br/>
      </w:r>
      <w:r w:rsidRPr="004A2B30">
        <w:rPr>
          <w:rFonts w:ascii="Garamond" w:eastAsia="Times New Roman" w:hAnsi="Garamond" w:cs="Arial"/>
        </w:rPr>
        <w:t>o přípustnosti opravného prostředku. Zákony nestanoví formuláře pro podání opravného prostředku.</w:t>
      </w:r>
    </w:p>
    <w:p w:rsidR="000D1FF5" w:rsidRPr="004A2B30" w:rsidRDefault="000D1FF5">
      <w:pPr>
        <w:pStyle w:val="Normlnweb"/>
        <w:spacing w:before="0" w:beforeAutospacing="0" w:after="0" w:afterAutospacing="0"/>
        <w:jc w:val="both"/>
        <w:rPr>
          <w:rFonts w:ascii="Garamond" w:eastAsia="Times New Roman" w:hAnsi="Garamond" w:cs="Arial"/>
          <w:b/>
          <w:bCs/>
        </w:rPr>
      </w:pPr>
    </w:p>
    <w:p w:rsidR="000D1FF5" w:rsidRPr="004A2B30" w:rsidRDefault="000D1FF5">
      <w:pPr>
        <w:pStyle w:val="Normlnweb"/>
        <w:numPr>
          <w:ilvl w:val="0"/>
          <w:numId w:val="36"/>
        </w:numPr>
        <w:tabs>
          <w:tab w:val="clear" w:pos="720"/>
        </w:tabs>
        <w:spacing w:before="0" w:beforeAutospacing="0" w:after="0" w:afterAutospacing="0"/>
        <w:ind w:left="0" w:firstLine="0"/>
        <w:jc w:val="both"/>
        <w:rPr>
          <w:rFonts w:ascii="Garamond" w:eastAsia="Times New Roman" w:hAnsi="Garamond" w:cs="Arial"/>
          <w:b/>
          <w:bCs/>
        </w:rPr>
      </w:pPr>
      <w:r w:rsidRPr="004A2B30">
        <w:rPr>
          <w:rFonts w:ascii="Garamond" w:eastAsia="Times New Roman" w:hAnsi="Garamond" w:cs="Arial"/>
          <w:b/>
          <w:bCs/>
        </w:rPr>
        <w:t>Postup při vyřizování žádostí, návrhů a dožádání</w:t>
      </w:r>
    </w:p>
    <w:p w:rsidR="000D1FF5" w:rsidRPr="004A2B30" w:rsidRDefault="000D1FF5">
      <w:pPr>
        <w:pStyle w:val="Normlnweb"/>
        <w:spacing w:before="0" w:beforeAutospacing="0" w:after="0" w:afterAutospacing="0"/>
        <w:jc w:val="both"/>
        <w:rPr>
          <w:rFonts w:ascii="Garamond" w:eastAsia="Times New Roman" w:hAnsi="Garamond" w:cs="Arial"/>
          <w:b/>
          <w:bCs/>
        </w:rPr>
      </w:pPr>
    </w:p>
    <w:p w:rsidR="000D1FF5" w:rsidRPr="004A2B30" w:rsidRDefault="000A5286"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b/>
          <w:bCs/>
        </w:rPr>
        <w:t>Informace a žádosti</w:t>
      </w:r>
      <w:r w:rsidR="000D1FF5" w:rsidRPr="004A2B30">
        <w:rPr>
          <w:rFonts w:ascii="Garamond" w:eastAsia="Times New Roman" w:hAnsi="Garamond" w:cs="Arial"/>
          <w:b/>
          <w:bCs/>
        </w:rPr>
        <w:t xml:space="preserve"> týkající se řízení</w:t>
      </w:r>
      <w:r w:rsidR="000D1FF5" w:rsidRPr="004A2B30">
        <w:rPr>
          <w:rFonts w:ascii="Garamond" w:eastAsia="Times New Roman" w:hAnsi="Garamond" w:cs="Arial"/>
        </w:rPr>
        <w:t>, která jsou na Okresním soudu v Trutnově vedena, vyřizuje Informační centrum buď osobně v budově soudu v přízemí na čísle dveří 1</w:t>
      </w:r>
      <w:r w:rsidR="00ED5375" w:rsidRPr="004A2B30">
        <w:rPr>
          <w:rFonts w:ascii="Garamond" w:eastAsia="Times New Roman" w:hAnsi="Garamond" w:cs="Arial"/>
        </w:rPr>
        <w:t>02</w:t>
      </w:r>
      <w:r w:rsidR="000D1FF5" w:rsidRPr="004A2B30">
        <w:rPr>
          <w:rFonts w:ascii="Garamond" w:eastAsia="Times New Roman" w:hAnsi="Garamond" w:cs="Arial"/>
        </w:rPr>
        <w:t xml:space="preserve"> nebo na telefonním čísle 499 857 212 nebo písemně na adrese Okresní soud v Trutnově, Nádražní 106/5, 541 20 Trutnov, v nezbytných případech v součinnosti s příslušnou vyřizující osobou. </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0D1FF5">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b/>
          <w:bCs/>
        </w:rPr>
        <w:t>Nové návrhy a</w:t>
      </w:r>
      <w:r w:rsidRPr="004A2B30">
        <w:rPr>
          <w:rFonts w:ascii="Garamond" w:eastAsia="Times New Roman" w:hAnsi="Garamond" w:cs="Arial"/>
        </w:rPr>
        <w:t xml:space="preserve"> </w:t>
      </w:r>
      <w:r w:rsidRPr="004A2B30">
        <w:rPr>
          <w:rFonts w:ascii="Garamond" w:eastAsia="Times New Roman" w:hAnsi="Garamond" w:cs="Arial"/>
          <w:b/>
          <w:bCs/>
        </w:rPr>
        <w:t>další podání k soudu</w:t>
      </w:r>
      <w:r w:rsidRPr="004A2B30">
        <w:rPr>
          <w:rFonts w:ascii="Garamond" w:eastAsia="Times New Roman" w:hAnsi="Garamond" w:cs="Arial"/>
        </w:rPr>
        <w:t xml:space="preserve"> je možné učinit osobně v budově soudu v přízemí na čísle dveří 105 nebo v elektronické podobě. O podobě elektronických podání je možné </w:t>
      </w:r>
      <w:r w:rsidR="00377629" w:rsidRPr="004A2B30">
        <w:rPr>
          <w:rFonts w:ascii="Garamond" w:eastAsia="Times New Roman" w:hAnsi="Garamond" w:cs="Arial"/>
        </w:rPr>
        <w:br/>
      </w:r>
      <w:r w:rsidRPr="004A2B30">
        <w:rPr>
          <w:rFonts w:ascii="Garamond" w:eastAsia="Times New Roman" w:hAnsi="Garamond" w:cs="Arial"/>
        </w:rPr>
        <w:t>se informovat na adrese</w:t>
      </w:r>
      <w:r w:rsidR="00143632" w:rsidRPr="004A2B30">
        <w:rPr>
          <w:rFonts w:ascii="Garamond" w:eastAsia="Times New Roman" w:hAnsi="Garamond" w:cs="Arial"/>
        </w:rPr>
        <w:t xml:space="preserve">: </w:t>
      </w:r>
      <w:hyperlink r:id="rId13" w:history="1">
        <w:r w:rsidR="00143632" w:rsidRPr="004A2B30">
          <w:rPr>
            <w:rStyle w:val="Hypertextovodkaz"/>
            <w:rFonts w:ascii="Garamond" w:eastAsia="Times New Roman" w:hAnsi="Garamond" w:cs="Arial"/>
          </w:rPr>
          <w:t>https://www.justice.cz/web/okresni-soud-v-trutnove/zakladni-informace?clanek=parametry-elektronickeho-podani</w:t>
        </w:r>
      </w:hyperlink>
      <w:r w:rsidRPr="004A2B30">
        <w:rPr>
          <w:rFonts w:ascii="Garamond" w:eastAsia="Times New Roman" w:hAnsi="Garamond" w:cs="Arial"/>
        </w:rPr>
        <w:t xml:space="preserve">. </w:t>
      </w:r>
    </w:p>
    <w:p w:rsidR="000D1FF5" w:rsidRPr="004A2B30" w:rsidRDefault="000D1FF5">
      <w:pPr>
        <w:pStyle w:val="Normlnweb"/>
        <w:spacing w:before="0" w:beforeAutospacing="0" w:after="0" w:afterAutospacing="0"/>
        <w:jc w:val="both"/>
        <w:rPr>
          <w:rFonts w:ascii="Garamond" w:eastAsia="Times New Roman" w:hAnsi="Garamond" w:cs="Arial"/>
        </w:rPr>
      </w:pPr>
    </w:p>
    <w:p w:rsidR="000D1FF5" w:rsidRPr="004A2B30" w:rsidRDefault="000D1FF5">
      <w:pPr>
        <w:pStyle w:val="Normlnweb"/>
        <w:spacing w:before="0" w:beforeAutospacing="0" w:after="0" w:afterAutospacing="0"/>
        <w:jc w:val="both"/>
        <w:rPr>
          <w:rFonts w:ascii="Garamond" w:hAnsi="Garamond" w:cs="Arial"/>
        </w:rPr>
      </w:pPr>
      <w:r w:rsidRPr="004A2B30">
        <w:rPr>
          <w:rFonts w:ascii="Garamond" w:hAnsi="Garamond" w:cs="Arial"/>
        </w:rPr>
        <w:t xml:space="preserve">Fyzické a právnické osoby jsou oprávněny obracet se na orgány státní správy soudů se stížnostmi, jen jde-li o </w:t>
      </w:r>
      <w:r w:rsidRPr="004A2B30">
        <w:rPr>
          <w:rFonts w:ascii="Garamond" w:hAnsi="Garamond" w:cs="Arial"/>
          <w:b/>
          <w:bCs/>
        </w:rPr>
        <w:t>průtahy v řízení</w:t>
      </w:r>
      <w:r w:rsidRPr="004A2B30">
        <w:rPr>
          <w:rFonts w:ascii="Garamond" w:hAnsi="Garamond" w:cs="Arial"/>
        </w:rPr>
        <w:t xml:space="preserve">, o </w:t>
      </w:r>
      <w:r w:rsidRPr="004A2B30">
        <w:rPr>
          <w:rFonts w:ascii="Garamond" w:hAnsi="Garamond" w:cs="Arial"/>
          <w:b/>
          <w:bCs/>
        </w:rPr>
        <w:t>nevhodné chování soudních osob</w:t>
      </w:r>
      <w:r w:rsidRPr="004A2B30">
        <w:rPr>
          <w:rFonts w:ascii="Garamond" w:hAnsi="Garamond" w:cs="Arial"/>
        </w:rPr>
        <w:t xml:space="preserve"> nebo </w:t>
      </w:r>
      <w:r w:rsidRPr="004A2B30">
        <w:rPr>
          <w:rFonts w:ascii="Garamond" w:hAnsi="Garamond" w:cs="Arial"/>
          <w:b/>
          <w:bCs/>
        </w:rPr>
        <w:t>narušování důstojnosti řízení před soudem</w:t>
      </w:r>
      <w:r w:rsidRPr="004A2B30">
        <w:rPr>
          <w:rFonts w:ascii="Garamond" w:hAnsi="Garamond" w:cs="Arial"/>
        </w:rPr>
        <w:t xml:space="preserve">. </w:t>
      </w:r>
    </w:p>
    <w:p w:rsidR="000E5CEC" w:rsidRPr="004A2B30" w:rsidRDefault="000E5CEC">
      <w:pPr>
        <w:pStyle w:val="Normlnweb"/>
        <w:spacing w:before="0" w:beforeAutospacing="0" w:after="0" w:afterAutospacing="0"/>
        <w:jc w:val="both"/>
        <w:rPr>
          <w:rFonts w:ascii="Garamond" w:hAnsi="Garamond" w:cs="Arial"/>
        </w:rPr>
      </w:pPr>
    </w:p>
    <w:p w:rsidR="000D1FF5" w:rsidRPr="004A2B30" w:rsidRDefault="000D1FF5" w:rsidP="000E5CEC">
      <w:pPr>
        <w:pStyle w:val="Normlnweb"/>
        <w:spacing w:before="0" w:beforeAutospacing="0" w:after="0" w:afterAutospacing="0"/>
        <w:jc w:val="both"/>
        <w:rPr>
          <w:rFonts w:ascii="Garamond" w:hAnsi="Garamond" w:cs="Arial"/>
        </w:rPr>
      </w:pPr>
      <w:r w:rsidRPr="004A2B30">
        <w:rPr>
          <w:rFonts w:ascii="Garamond" w:hAnsi="Garamond" w:cs="Arial"/>
          <w:b/>
          <w:bCs/>
        </w:rPr>
        <w:t xml:space="preserve">Stížnosti </w:t>
      </w:r>
      <w:r w:rsidRPr="004A2B30">
        <w:rPr>
          <w:rFonts w:ascii="Garamond" w:hAnsi="Garamond" w:cs="Arial"/>
        </w:rPr>
        <w:t>v písemné podobě přijímá Okresní soud v Trutnově každý pracovní den v obvyklou pracovní dobu. Stížnost lze podat písemně nebo ústně; je-li podána ústně stížnost, kterou nelze ihned vyřídit, sepíše o ní orgán státní správy soudu písemný záznam. Za stížnost podanou písemně se považuje i stížnost podaná prostřednictvím elektronické pošty, lze-li z podání určit obsah stížnosti a osobu a adresu stěžovatele. Stížnosti podané ústně přijímají soudy v úředních hodinách dle rozvrhu práce. Příjem stížnosti podané písemně u soudu příslušného</w:t>
      </w:r>
      <w:r w:rsidR="00143632" w:rsidRPr="004A2B30">
        <w:rPr>
          <w:rFonts w:ascii="Garamond" w:hAnsi="Garamond" w:cs="Arial"/>
        </w:rPr>
        <w:t xml:space="preserve"> k jejímu vyřízení (§</w:t>
      </w:r>
      <w:r w:rsidR="003F14A5" w:rsidRPr="004A2B30">
        <w:rPr>
          <w:rFonts w:ascii="Garamond" w:hAnsi="Garamond" w:cs="Arial"/>
        </w:rPr>
        <w:t xml:space="preserve"> 164–</w:t>
      </w:r>
      <w:r w:rsidR="006D4D03" w:rsidRPr="004A2B30">
        <w:rPr>
          <w:rFonts w:ascii="Garamond" w:hAnsi="Garamond" w:cs="Arial"/>
        </w:rPr>
        <w:t>174a</w:t>
      </w:r>
      <w:r w:rsidR="006C7859" w:rsidRPr="004A2B30">
        <w:rPr>
          <w:rFonts w:ascii="Garamond" w:hAnsi="Garamond" w:cs="Arial"/>
        </w:rPr>
        <w:t xml:space="preserve"> z</w:t>
      </w:r>
      <w:r w:rsidRPr="004A2B30">
        <w:rPr>
          <w:rFonts w:ascii="Garamond" w:hAnsi="Garamond" w:cs="Arial"/>
        </w:rPr>
        <w:t xml:space="preserve">ákona o soudech a soudcích) musí být stěžovateli potvrzen písemně </w:t>
      </w:r>
      <w:r w:rsidR="00377629" w:rsidRPr="004A2B30">
        <w:rPr>
          <w:rFonts w:ascii="Garamond" w:hAnsi="Garamond" w:cs="Arial"/>
        </w:rPr>
        <w:br/>
      </w:r>
      <w:r w:rsidRPr="004A2B30">
        <w:rPr>
          <w:rFonts w:ascii="Garamond" w:hAnsi="Garamond" w:cs="Arial"/>
        </w:rPr>
        <w:t>do 7 dnů ode dne doručení stížnosti, včetně poučení o lhůtě k jejímu vyřízení. Příjem stížnosti podané elektronickou poštou lze potvrdit stejným způsobem. Soud, kterému byla jako příslušnému stížnost postoupena k vyřízení, příjem stížnosti stěžovateli nepotvrzuje.</w:t>
      </w:r>
    </w:p>
    <w:p w:rsidR="000E5CEC" w:rsidRPr="004A2B30" w:rsidRDefault="000E5CEC" w:rsidP="000E5CEC">
      <w:pPr>
        <w:pStyle w:val="Normlnweb"/>
        <w:spacing w:before="0" w:beforeAutospacing="0" w:after="0" w:afterAutospacing="0"/>
        <w:jc w:val="both"/>
        <w:rPr>
          <w:rFonts w:ascii="Garamond" w:hAnsi="Garamond" w:cs="Arial"/>
        </w:rPr>
      </w:pPr>
    </w:p>
    <w:p w:rsidR="000D1FF5" w:rsidRPr="004A2B30" w:rsidRDefault="003F14A5" w:rsidP="000E5CEC">
      <w:pPr>
        <w:pStyle w:val="Normlnweb"/>
        <w:spacing w:before="0" w:beforeAutospacing="0" w:after="0" w:afterAutospacing="0"/>
        <w:jc w:val="both"/>
        <w:rPr>
          <w:rFonts w:ascii="Garamond" w:hAnsi="Garamond" w:cs="Arial"/>
        </w:rPr>
      </w:pPr>
      <w:r w:rsidRPr="004A2B30">
        <w:rPr>
          <w:rFonts w:ascii="Garamond" w:hAnsi="Garamond" w:cs="Arial"/>
        </w:rPr>
        <w:t xml:space="preserve">Stížnost musí být dle § </w:t>
      </w:r>
      <w:r w:rsidR="000D1FF5" w:rsidRPr="004A2B30">
        <w:rPr>
          <w:rFonts w:ascii="Garamond" w:hAnsi="Garamond" w:cs="Arial"/>
        </w:rPr>
        <w:t xml:space="preserve">173 odst. 1 </w:t>
      </w:r>
      <w:r w:rsidR="00AF3659" w:rsidRPr="004A2B30">
        <w:rPr>
          <w:rFonts w:ascii="Garamond" w:hAnsi="Garamond" w:cs="Arial"/>
        </w:rPr>
        <w:t>z</w:t>
      </w:r>
      <w:r w:rsidR="000D1FF5" w:rsidRPr="004A2B30">
        <w:rPr>
          <w:rFonts w:ascii="Garamond" w:hAnsi="Garamond" w:cs="Arial"/>
        </w:rPr>
        <w:t xml:space="preserve">ákona o soudech a soudcích vyřízena do dvou měsíců, </w:t>
      </w:r>
      <w:r w:rsidR="00377629" w:rsidRPr="004A2B30">
        <w:rPr>
          <w:rFonts w:ascii="Garamond" w:hAnsi="Garamond" w:cs="Arial"/>
        </w:rPr>
        <w:br/>
      </w:r>
      <w:r w:rsidR="000D1FF5" w:rsidRPr="004A2B30">
        <w:rPr>
          <w:rFonts w:ascii="Garamond" w:hAnsi="Garamond" w:cs="Arial"/>
        </w:rPr>
        <w:t>a jedná-li</w:t>
      </w:r>
      <w:r w:rsidR="00377629" w:rsidRPr="004A2B30">
        <w:rPr>
          <w:rFonts w:ascii="Garamond" w:hAnsi="Garamond" w:cs="Arial"/>
        </w:rPr>
        <w:t xml:space="preserve"> </w:t>
      </w:r>
      <w:r w:rsidR="000D1FF5" w:rsidRPr="004A2B30">
        <w:rPr>
          <w:rFonts w:ascii="Garamond" w:hAnsi="Garamond" w:cs="Arial"/>
        </w:rPr>
        <w:t>se o stížnost na průtahy v řízení, do jednoho měsíce ode dne jejího doručení orgánu státní správy soudu příslušnému k jejímu vyřízení. O vyřízení stížnosti musí být stěžovatel v této lhůtě vyrozuměn.</w:t>
      </w:r>
    </w:p>
    <w:p w:rsidR="000E5CEC" w:rsidRPr="004A2B30" w:rsidRDefault="000E5CEC" w:rsidP="000E5CEC">
      <w:pPr>
        <w:pStyle w:val="Normlnweb"/>
        <w:spacing w:before="0" w:beforeAutospacing="0" w:after="0" w:afterAutospacing="0"/>
        <w:jc w:val="both"/>
        <w:rPr>
          <w:rFonts w:ascii="Garamond" w:hAnsi="Garamond" w:cs="Arial"/>
        </w:rPr>
      </w:pPr>
    </w:p>
    <w:p w:rsidR="000D1FF5" w:rsidRPr="004A2B30" w:rsidRDefault="000D1FF5">
      <w:pPr>
        <w:pStyle w:val="Normlnweb"/>
        <w:spacing w:before="0" w:beforeAutospacing="0" w:after="0" w:afterAutospacing="0"/>
        <w:jc w:val="both"/>
        <w:rPr>
          <w:rFonts w:ascii="Garamond" w:hAnsi="Garamond" w:cs="Arial"/>
        </w:rPr>
      </w:pPr>
      <w:r w:rsidRPr="004A2B30">
        <w:rPr>
          <w:rFonts w:ascii="Garamond" w:hAnsi="Garamond" w:cs="Arial"/>
        </w:rPr>
        <w:t>Poskytnutí informace ve smyslu</w:t>
      </w:r>
      <w:r w:rsidRPr="004A2B30">
        <w:rPr>
          <w:rFonts w:ascii="Garamond" w:hAnsi="Garamond" w:cs="Arial"/>
          <w:b/>
          <w:bCs/>
        </w:rPr>
        <w:t xml:space="preserve"> žádosti o poskytnutí informace dle zákona </w:t>
      </w:r>
      <w:r w:rsidR="0090285E" w:rsidRPr="004A2B30">
        <w:rPr>
          <w:rFonts w:ascii="Garamond" w:hAnsi="Garamond" w:cs="Arial"/>
          <w:b/>
          <w:bCs/>
        </w:rPr>
        <w:t>č. 106/199</w:t>
      </w:r>
      <w:r w:rsidR="000E5CEC" w:rsidRPr="004A2B30">
        <w:rPr>
          <w:rFonts w:ascii="Garamond" w:hAnsi="Garamond" w:cs="Arial"/>
          <w:b/>
          <w:bCs/>
        </w:rPr>
        <w:t>9</w:t>
      </w:r>
      <w:r w:rsidR="0090285E" w:rsidRPr="004A2B30">
        <w:rPr>
          <w:rFonts w:ascii="Garamond" w:hAnsi="Garamond" w:cs="Arial"/>
          <w:b/>
          <w:bCs/>
        </w:rPr>
        <w:t xml:space="preserve"> Sb., </w:t>
      </w:r>
      <w:r w:rsidRPr="004A2B30">
        <w:rPr>
          <w:rFonts w:ascii="Garamond" w:hAnsi="Garamond" w:cs="Arial"/>
        </w:rPr>
        <w:t>o svobodném přístupu k</w:t>
      </w:r>
      <w:r w:rsidR="0090285E" w:rsidRPr="004A2B30">
        <w:rPr>
          <w:rFonts w:ascii="Garamond" w:hAnsi="Garamond" w:cs="Arial"/>
        </w:rPr>
        <w:t> </w:t>
      </w:r>
      <w:r w:rsidRPr="004A2B30">
        <w:rPr>
          <w:rFonts w:ascii="Garamond" w:hAnsi="Garamond" w:cs="Arial"/>
        </w:rPr>
        <w:t>informacím</w:t>
      </w:r>
      <w:r w:rsidR="0090285E" w:rsidRPr="004A2B30">
        <w:rPr>
          <w:rFonts w:ascii="Garamond" w:hAnsi="Garamond" w:cs="Arial"/>
        </w:rPr>
        <w:t xml:space="preserve"> (dále jen „zákon o svobodném přístupu k informacím“)</w:t>
      </w:r>
      <w:r w:rsidRPr="004A2B30">
        <w:rPr>
          <w:rFonts w:ascii="Garamond" w:hAnsi="Garamond" w:cs="Arial"/>
        </w:rPr>
        <w:t xml:space="preserve"> </w:t>
      </w:r>
      <w:r w:rsidR="00377629" w:rsidRPr="004A2B30">
        <w:rPr>
          <w:rFonts w:ascii="Garamond" w:hAnsi="Garamond" w:cs="Arial"/>
        </w:rPr>
        <w:br/>
      </w:r>
      <w:r w:rsidRPr="004A2B30">
        <w:rPr>
          <w:rFonts w:ascii="Garamond" w:hAnsi="Garamond" w:cs="Arial"/>
        </w:rPr>
        <w:t>je možn</w:t>
      </w:r>
      <w:r w:rsidR="00E465BF" w:rsidRPr="004A2B30">
        <w:rPr>
          <w:rFonts w:ascii="Garamond" w:hAnsi="Garamond" w:cs="Arial"/>
        </w:rPr>
        <w:t xml:space="preserve">é získat na internetové adrese: </w:t>
      </w:r>
      <w:hyperlink r:id="rId14" w:history="1">
        <w:r w:rsidR="00E465BF" w:rsidRPr="004A2B30">
          <w:rPr>
            <w:rStyle w:val="Hypertextovodkaz"/>
            <w:rFonts w:ascii="Garamond" w:hAnsi="Garamond" w:cs="Arial"/>
          </w:rPr>
          <w:t>https://www.justice.cz/web/okresni-soud-v-trutnove/zakladni-informace?clanek=informace-dle-zakona-c-106-1999-s-1</w:t>
        </w:r>
      </w:hyperlink>
      <w:r w:rsidRPr="004A2B30">
        <w:rPr>
          <w:rFonts w:ascii="Garamond" w:hAnsi="Garamond" w:cs="Arial"/>
        </w:rPr>
        <w:t>.</w:t>
      </w:r>
    </w:p>
    <w:p w:rsidR="000E5CEC" w:rsidRPr="004A2B30" w:rsidRDefault="000E5CEC">
      <w:pPr>
        <w:pStyle w:val="Normlnweb"/>
        <w:spacing w:before="0" w:beforeAutospacing="0" w:after="0" w:afterAutospacing="0"/>
        <w:jc w:val="both"/>
        <w:rPr>
          <w:rFonts w:ascii="Garamond" w:hAnsi="Garamond" w:cs="Arial"/>
        </w:rPr>
      </w:pPr>
    </w:p>
    <w:p w:rsidR="000E5CEC" w:rsidRPr="004A2B30" w:rsidRDefault="00BE5D0B">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Zákon </w:t>
      </w:r>
      <w:r w:rsidR="000D1FF5" w:rsidRPr="004A2B30">
        <w:rPr>
          <w:rFonts w:ascii="Garamond" w:eastAsia="Times New Roman" w:hAnsi="Garamond" w:cs="Arial"/>
        </w:rPr>
        <w:t>o svobodném přístupu k informacím je možné získat na internetové adrese:</w:t>
      </w:r>
      <w:r w:rsidR="00E465BF" w:rsidRPr="004A2B30">
        <w:rPr>
          <w:rFonts w:ascii="Garamond" w:eastAsia="Times New Roman" w:hAnsi="Garamond" w:cs="Arial"/>
        </w:rPr>
        <w:t xml:space="preserve"> </w:t>
      </w:r>
      <w:hyperlink r:id="rId15" w:history="1">
        <w:r w:rsidR="00E465BF" w:rsidRPr="004A2B30">
          <w:rPr>
            <w:rStyle w:val="Hypertextovodkaz"/>
            <w:rFonts w:ascii="Garamond" w:eastAsia="Times New Roman" w:hAnsi="Garamond" w:cs="Arial"/>
          </w:rPr>
          <w:t>https://www.justice.cz/web/okresni-soud-v-trutnove/zakladni-informace?clanek=informace-dle-zakona-c-106-1999-s-1</w:t>
        </w:r>
      </w:hyperlink>
      <w:r w:rsidR="00E465BF" w:rsidRPr="004A2B30">
        <w:rPr>
          <w:rFonts w:ascii="Garamond" w:eastAsia="Times New Roman" w:hAnsi="Garamond" w:cs="Arial"/>
        </w:rPr>
        <w:t>.</w:t>
      </w:r>
    </w:p>
    <w:p w:rsidR="00E465BF" w:rsidRPr="004A2B30" w:rsidRDefault="00E465BF">
      <w:pPr>
        <w:pStyle w:val="Normlnweb"/>
        <w:spacing w:before="0" w:beforeAutospacing="0" w:after="0" w:afterAutospacing="0"/>
        <w:jc w:val="both"/>
        <w:rPr>
          <w:rFonts w:ascii="Garamond" w:eastAsia="Times New Roman" w:hAnsi="Garamond" w:cs="Arial"/>
        </w:rPr>
      </w:pPr>
    </w:p>
    <w:p w:rsidR="0090285E" w:rsidRPr="004A2B30" w:rsidRDefault="0090285E">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Informace, které je soud povinen vyvěsit podle zákona o svobodném přístupu k informací</w:t>
      </w:r>
      <w:r w:rsidR="004957F3" w:rsidRPr="004A2B30">
        <w:rPr>
          <w:rFonts w:ascii="Garamond" w:eastAsia="Times New Roman" w:hAnsi="Garamond" w:cs="Arial"/>
        </w:rPr>
        <w:t>m</w:t>
      </w:r>
      <w:r w:rsidRPr="004A2B30">
        <w:rPr>
          <w:rFonts w:ascii="Garamond" w:eastAsia="Times New Roman" w:hAnsi="Garamond" w:cs="Arial"/>
        </w:rPr>
        <w:t xml:space="preserve">, jsou přístupné na internetové adrese: </w:t>
      </w:r>
      <w:hyperlink r:id="rId16" w:history="1">
        <w:r w:rsidR="00E465BF" w:rsidRPr="004A2B30">
          <w:rPr>
            <w:rStyle w:val="Hypertextovodkaz"/>
            <w:rFonts w:ascii="Garamond" w:eastAsia="Times New Roman" w:hAnsi="Garamond" w:cs="Arial"/>
          </w:rPr>
          <w:t>https://www.justice.cz/web/okresni-soud-v-trutnove/zakladni-informace?clanek=informace-dle-zakona-c-106-1999-s-1</w:t>
        </w:r>
      </w:hyperlink>
      <w:r w:rsidRPr="004A2B30">
        <w:rPr>
          <w:rFonts w:ascii="Garamond" w:eastAsia="Times New Roman" w:hAnsi="Garamond" w:cs="Arial"/>
        </w:rPr>
        <w:t xml:space="preserve">. </w:t>
      </w:r>
    </w:p>
    <w:p w:rsidR="000D1FF5" w:rsidRPr="004A2B30" w:rsidRDefault="000D1FF5">
      <w:pPr>
        <w:pStyle w:val="Normlnweb"/>
        <w:spacing w:before="0" w:beforeAutospacing="0" w:after="0" w:afterAutospacing="0"/>
        <w:jc w:val="both"/>
        <w:rPr>
          <w:rFonts w:ascii="Garamond" w:eastAsia="Times New Roman" w:hAnsi="Garamond" w:cs="Arial"/>
          <w:b/>
          <w:bCs/>
        </w:rPr>
      </w:pPr>
    </w:p>
    <w:p w:rsidR="000D1FF5" w:rsidRPr="004A2B30" w:rsidRDefault="000D1FF5" w:rsidP="00E465BF">
      <w:pPr>
        <w:pStyle w:val="Normlnweb"/>
        <w:spacing w:before="0" w:beforeAutospacing="0" w:after="0" w:afterAutospacing="0"/>
        <w:jc w:val="both"/>
        <w:rPr>
          <w:rFonts w:ascii="Garamond" w:hAnsi="Garamond" w:cs="Arial"/>
          <w:b/>
          <w:bCs/>
        </w:rPr>
      </w:pPr>
      <w:r w:rsidRPr="004A2B30">
        <w:rPr>
          <w:rFonts w:ascii="Garamond" w:hAnsi="Garamond" w:cs="Arial"/>
        </w:rPr>
        <w:t>Seznam</w:t>
      </w:r>
      <w:r w:rsidRPr="004A2B30">
        <w:rPr>
          <w:rFonts w:ascii="Garamond" w:hAnsi="Garamond" w:cs="Arial"/>
          <w:b/>
          <w:bCs/>
        </w:rPr>
        <w:t xml:space="preserve"> </w:t>
      </w:r>
      <w:r w:rsidRPr="004A2B30">
        <w:rPr>
          <w:rFonts w:ascii="Garamond" w:hAnsi="Garamond" w:cs="Arial"/>
        </w:rPr>
        <w:t>právních předpisů</w:t>
      </w:r>
      <w:r w:rsidR="003F14A5" w:rsidRPr="004A2B30">
        <w:rPr>
          <w:rFonts w:ascii="Garamond" w:hAnsi="Garamond" w:cs="Arial"/>
        </w:rPr>
        <w:t xml:space="preserve"> ve smyslu § </w:t>
      </w:r>
      <w:r w:rsidR="006C7859" w:rsidRPr="004A2B30">
        <w:rPr>
          <w:rFonts w:ascii="Garamond" w:hAnsi="Garamond" w:cs="Arial"/>
        </w:rPr>
        <w:t>5 odst. 1 písm</w:t>
      </w:r>
      <w:r w:rsidR="0090285E" w:rsidRPr="004A2B30">
        <w:rPr>
          <w:rFonts w:ascii="Garamond" w:hAnsi="Garamond" w:cs="Arial"/>
        </w:rPr>
        <w:t>.</w:t>
      </w:r>
      <w:r w:rsidR="006C7859" w:rsidRPr="004A2B30">
        <w:rPr>
          <w:rFonts w:ascii="Garamond" w:hAnsi="Garamond" w:cs="Arial"/>
        </w:rPr>
        <w:t xml:space="preserve"> e) </w:t>
      </w:r>
      <w:r w:rsidR="003D55E4" w:rsidRPr="004A2B30">
        <w:rPr>
          <w:rFonts w:ascii="Garamond" w:hAnsi="Garamond" w:cs="Arial"/>
        </w:rPr>
        <w:t>o svobodném přístupu k informacím</w:t>
      </w:r>
      <w:r w:rsidRPr="004A2B30">
        <w:rPr>
          <w:rFonts w:ascii="Garamond" w:hAnsi="Garamond" w:cs="Arial"/>
        </w:rPr>
        <w:t>, podle nichž okresní soud zejména jedná a rozhoduje</w:t>
      </w:r>
      <w:r w:rsidR="00BE5D0B" w:rsidRPr="004A2B30">
        <w:rPr>
          <w:rFonts w:ascii="Garamond" w:hAnsi="Garamond" w:cs="Arial"/>
        </w:rPr>
        <w:t>,</w:t>
      </w:r>
      <w:r w:rsidRPr="004A2B30">
        <w:rPr>
          <w:rFonts w:ascii="Garamond" w:hAnsi="Garamond" w:cs="Arial"/>
        </w:rPr>
        <w:t xml:space="preserve"> je možné získat na internetové adrese:</w:t>
      </w:r>
      <w:r w:rsidR="00E465BF" w:rsidRPr="004A2B30">
        <w:rPr>
          <w:rFonts w:ascii="Garamond" w:hAnsi="Garamond" w:cs="Arial"/>
        </w:rPr>
        <w:t xml:space="preserve"> </w:t>
      </w:r>
      <w:hyperlink r:id="rId17" w:history="1">
        <w:r w:rsidR="00E465BF" w:rsidRPr="004A2B30">
          <w:rPr>
            <w:rStyle w:val="Hypertextovodkaz"/>
            <w:rFonts w:ascii="Garamond" w:hAnsi="Garamond" w:cs="Arial"/>
          </w:rPr>
          <w:t>https://www.justice.cz/web/okresni-soud-v-trutnove/zakladni-informace?clanek=informace-dle-zakona-c-106-1999-s-1</w:t>
        </w:r>
      </w:hyperlink>
      <w:r w:rsidRPr="004A2B30">
        <w:rPr>
          <w:rFonts w:ascii="Garamond" w:eastAsia="Times New Roman" w:hAnsi="Garamond" w:cs="Arial"/>
        </w:rPr>
        <w:t xml:space="preserve"> .</w:t>
      </w:r>
    </w:p>
    <w:p w:rsidR="000D1FF5" w:rsidRPr="004A2B30" w:rsidRDefault="000D1FF5">
      <w:pPr>
        <w:pStyle w:val="Normlnweb"/>
        <w:spacing w:before="0" w:beforeAutospacing="0" w:after="0" w:afterAutospacing="0"/>
        <w:jc w:val="both"/>
        <w:rPr>
          <w:rFonts w:ascii="Garamond" w:hAnsi="Garamond" w:cs="Arial"/>
          <w:b/>
          <w:bCs/>
        </w:rPr>
      </w:pPr>
    </w:p>
    <w:p w:rsidR="000D1FF5" w:rsidRPr="004A2B30" w:rsidRDefault="000D1FF5">
      <w:pPr>
        <w:pStyle w:val="Normlnweb"/>
        <w:numPr>
          <w:ilvl w:val="0"/>
          <w:numId w:val="36"/>
        </w:numPr>
        <w:tabs>
          <w:tab w:val="clear" w:pos="720"/>
        </w:tabs>
        <w:spacing w:before="0" w:beforeAutospacing="0" w:after="0" w:afterAutospacing="0"/>
        <w:ind w:left="0" w:firstLine="0"/>
        <w:jc w:val="both"/>
        <w:rPr>
          <w:rFonts w:ascii="Garamond" w:eastAsia="Times New Roman" w:hAnsi="Garamond" w:cs="Arial"/>
          <w:b/>
          <w:bCs/>
        </w:rPr>
      </w:pPr>
      <w:r w:rsidRPr="004A2B30">
        <w:rPr>
          <w:rFonts w:ascii="Garamond" w:eastAsia="Times New Roman" w:hAnsi="Garamond" w:cs="Arial"/>
          <w:b/>
          <w:bCs/>
        </w:rPr>
        <w:t>Sazebník úhrad za poskytování informací</w:t>
      </w:r>
    </w:p>
    <w:p w:rsidR="000E5CEC" w:rsidRPr="004A2B30" w:rsidRDefault="000E5CEC" w:rsidP="000E5CEC">
      <w:pPr>
        <w:pStyle w:val="Normlnweb"/>
        <w:spacing w:before="0" w:beforeAutospacing="0" w:after="0" w:afterAutospacing="0"/>
        <w:jc w:val="both"/>
        <w:rPr>
          <w:rFonts w:ascii="Garamond" w:eastAsia="Times New Roman" w:hAnsi="Garamond" w:cs="Arial"/>
          <w:b/>
          <w:bCs/>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Sazebník úhrad za </w:t>
      </w:r>
      <w:r w:rsidR="003F14A5" w:rsidRPr="004A2B30">
        <w:rPr>
          <w:rFonts w:ascii="Garamond" w:eastAsia="Times New Roman" w:hAnsi="Garamond" w:cs="Arial"/>
        </w:rPr>
        <w:t xml:space="preserve">poskytování informací se řídí § </w:t>
      </w:r>
      <w:r w:rsidR="00BB6469" w:rsidRPr="004A2B30">
        <w:rPr>
          <w:rFonts w:ascii="Garamond" w:eastAsia="Times New Roman" w:hAnsi="Garamond" w:cs="Arial"/>
        </w:rPr>
        <w:t>17</w:t>
      </w:r>
      <w:r w:rsidRPr="004A2B30">
        <w:rPr>
          <w:rFonts w:ascii="Garamond" w:eastAsia="Times New Roman" w:hAnsi="Garamond" w:cs="Arial"/>
        </w:rPr>
        <w:t xml:space="preserve"> zákona o </w:t>
      </w:r>
      <w:r w:rsidR="00BB6469" w:rsidRPr="004A2B30">
        <w:rPr>
          <w:rFonts w:ascii="Garamond" w:eastAsia="Times New Roman" w:hAnsi="Garamond" w:cs="Arial"/>
        </w:rPr>
        <w:t>svobodném přístupu k informacím:</w:t>
      </w:r>
    </w:p>
    <w:p w:rsidR="00BC000D" w:rsidRPr="004A2B30" w:rsidRDefault="00BC000D" w:rsidP="000E5CEC">
      <w:pPr>
        <w:pStyle w:val="Normlnweb"/>
        <w:spacing w:before="0" w:beforeAutospacing="0" w:after="0" w:afterAutospacing="0"/>
        <w:jc w:val="both"/>
        <w:rPr>
          <w:rFonts w:ascii="Garamond" w:eastAsia="Times New Roman" w:hAnsi="Garamond" w:cs="Arial"/>
        </w:rPr>
      </w:pPr>
    </w:p>
    <w:p w:rsidR="00BC000D" w:rsidRPr="004A2B30" w:rsidRDefault="00AF7C49" w:rsidP="00AF7C49">
      <w:pPr>
        <w:shd w:val="clear" w:color="auto" w:fill="FFFFFF"/>
        <w:ind w:left="360"/>
        <w:jc w:val="both"/>
        <w:rPr>
          <w:rFonts w:ascii="Garamond" w:hAnsi="Garamond"/>
          <w:color w:val="232323"/>
          <w:sz w:val="24"/>
          <w:szCs w:val="24"/>
        </w:rPr>
      </w:pPr>
      <w:r w:rsidRPr="004A2B30">
        <w:rPr>
          <w:rFonts w:ascii="Garamond" w:hAnsi="Garamond"/>
          <w:color w:val="232323"/>
          <w:sz w:val="24"/>
          <w:szCs w:val="24"/>
        </w:rPr>
        <w:t xml:space="preserve">(1) </w:t>
      </w:r>
      <w:r w:rsidR="00F72EF1" w:rsidRPr="004A2B30">
        <w:rPr>
          <w:rFonts w:ascii="Garamond" w:hAnsi="Garamond"/>
          <w:color w:val="232323"/>
          <w:sz w:val="24"/>
          <w:szCs w:val="24"/>
        </w:rPr>
        <w:t>Povinné subjekty jsou v souvislosti s poskytováním info</w:t>
      </w:r>
      <w:r w:rsidRPr="004A2B30">
        <w:rPr>
          <w:rFonts w:ascii="Garamond" w:hAnsi="Garamond"/>
          <w:color w:val="232323"/>
          <w:sz w:val="24"/>
          <w:szCs w:val="24"/>
        </w:rPr>
        <w:t xml:space="preserve">rmací oprávněny žádat úhradu </w:t>
      </w:r>
      <w:r w:rsidR="00377629" w:rsidRPr="004A2B30">
        <w:rPr>
          <w:rFonts w:ascii="Garamond" w:hAnsi="Garamond"/>
          <w:color w:val="232323"/>
          <w:sz w:val="24"/>
          <w:szCs w:val="24"/>
        </w:rPr>
        <w:br/>
      </w:r>
      <w:r w:rsidRPr="004A2B30">
        <w:rPr>
          <w:rFonts w:ascii="Garamond" w:hAnsi="Garamond"/>
          <w:color w:val="232323"/>
          <w:sz w:val="24"/>
          <w:szCs w:val="24"/>
        </w:rPr>
        <w:t xml:space="preserve">ve </w:t>
      </w:r>
      <w:r w:rsidR="00F72EF1" w:rsidRPr="004A2B30">
        <w:rPr>
          <w:rFonts w:ascii="Garamond" w:hAnsi="Garamond"/>
          <w:color w:val="232323"/>
          <w:sz w:val="24"/>
          <w:szCs w:val="24"/>
        </w:rPr>
        <w:t xml:space="preserve">výši, která nesmí přesáhnout náklady spojené s pořízením kopií, opatřením technických nosičů dat a s odesláním informací žadateli. Povinný subjekt může vyžádat i úhradu </w:t>
      </w:r>
      <w:r w:rsidR="00377629" w:rsidRPr="004A2B30">
        <w:rPr>
          <w:rFonts w:ascii="Garamond" w:hAnsi="Garamond"/>
          <w:color w:val="232323"/>
          <w:sz w:val="24"/>
          <w:szCs w:val="24"/>
        </w:rPr>
        <w:br/>
      </w:r>
      <w:r w:rsidR="00F72EF1" w:rsidRPr="004A2B30">
        <w:rPr>
          <w:rFonts w:ascii="Garamond" w:hAnsi="Garamond"/>
          <w:color w:val="232323"/>
          <w:sz w:val="24"/>
          <w:szCs w:val="24"/>
        </w:rPr>
        <w:t>za mimořádně rozsáhlé vyhledání informací.</w:t>
      </w:r>
    </w:p>
    <w:p w:rsidR="00BC000D" w:rsidRPr="004A2B30" w:rsidRDefault="00F72EF1" w:rsidP="00BC000D">
      <w:pPr>
        <w:shd w:val="clear" w:color="auto" w:fill="FFFFFF"/>
        <w:ind w:firstLine="360"/>
        <w:jc w:val="both"/>
        <w:rPr>
          <w:rFonts w:ascii="Garamond" w:hAnsi="Garamond"/>
          <w:color w:val="232323"/>
          <w:sz w:val="24"/>
          <w:szCs w:val="24"/>
        </w:rPr>
      </w:pPr>
      <w:r w:rsidRPr="004A2B30">
        <w:rPr>
          <w:rFonts w:ascii="Garamond" w:hAnsi="Garamond"/>
          <w:color w:val="232323"/>
          <w:sz w:val="24"/>
          <w:szCs w:val="24"/>
        </w:rPr>
        <w:t>(2) Pokud byla v licenční smlouvě sjednána odměna, nelze požadovat úhradu nákladů.</w:t>
      </w:r>
    </w:p>
    <w:p w:rsidR="00BC000D" w:rsidRPr="004A2B30" w:rsidRDefault="00F72EF1" w:rsidP="00AF7C49">
      <w:pPr>
        <w:shd w:val="clear" w:color="auto" w:fill="FFFFFF"/>
        <w:ind w:left="360"/>
        <w:jc w:val="both"/>
        <w:rPr>
          <w:rFonts w:ascii="Garamond" w:hAnsi="Garamond"/>
          <w:color w:val="232323"/>
          <w:sz w:val="24"/>
          <w:szCs w:val="24"/>
        </w:rPr>
      </w:pPr>
      <w:r w:rsidRPr="004A2B30">
        <w:rPr>
          <w:rFonts w:ascii="Garamond" w:hAnsi="Garamond"/>
          <w:color w:val="232323"/>
          <w:sz w:val="24"/>
          <w:szCs w:val="24"/>
        </w:rPr>
        <w:t xml:space="preserve">(3) V případě, že bude povinný subjekt za poskytnutí informace požadovat úhradu, písemně oznámí tuto skutečnost spolu s výší úhrady žadateli před poskytnutím informace. Z oznámení musí být zřejmé, na základě jakých skutečností a </w:t>
      </w:r>
      <w:r w:rsidRPr="004A2B30">
        <w:rPr>
          <w:rFonts w:ascii="Garamond" w:hAnsi="Garamond"/>
          <w:sz w:val="24"/>
          <w:szCs w:val="24"/>
        </w:rPr>
        <w:t>jakým způsobem byla výše úhrady povinným subjektem vyčíslena. Součástí oznámení musí být poučení o možnosti podat proti požadavku úhrady nákladů za poskytnutí informace stížnost podle </w:t>
      </w:r>
      <w:hyperlink r:id="rId18" w:history="1">
        <w:r w:rsidR="003F14A5" w:rsidRPr="004A2B30">
          <w:rPr>
            <w:rStyle w:val="Hypertextovodkaz"/>
            <w:rFonts w:ascii="Garamond" w:hAnsi="Garamond"/>
            <w:color w:val="auto"/>
            <w:sz w:val="24"/>
            <w:szCs w:val="24"/>
            <w:u w:val="none"/>
          </w:rPr>
          <w:t xml:space="preserve">§ </w:t>
        </w:r>
        <w:r w:rsidRPr="004A2B30">
          <w:rPr>
            <w:rStyle w:val="Hypertextovodkaz"/>
            <w:rFonts w:ascii="Garamond" w:hAnsi="Garamond"/>
            <w:color w:val="auto"/>
            <w:sz w:val="24"/>
            <w:szCs w:val="24"/>
            <w:u w:val="none"/>
          </w:rPr>
          <w:t>16a odst. 1 písm. d)</w:t>
        </w:r>
      </w:hyperlink>
      <w:r w:rsidRPr="004A2B30">
        <w:rPr>
          <w:rFonts w:ascii="Garamond" w:hAnsi="Garamond"/>
          <w:sz w:val="24"/>
          <w:szCs w:val="24"/>
        </w:rPr>
        <w:t xml:space="preserve">, ze kterého </w:t>
      </w:r>
      <w:r w:rsidR="00377629" w:rsidRPr="004A2B30">
        <w:rPr>
          <w:rFonts w:ascii="Garamond" w:hAnsi="Garamond"/>
          <w:sz w:val="24"/>
          <w:szCs w:val="24"/>
        </w:rPr>
        <w:br/>
      </w:r>
      <w:r w:rsidRPr="004A2B30">
        <w:rPr>
          <w:rFonts w:ascii="Garamond" w:hAnsi="Garamond"/>
          <w:sz w:val="24"/>
          <w:szCs w:val="24"/>
        </w:rPr>
        <w:t>je patrné, v jaké lhůtě lze stížnost podat, od kterého dne se tato lhůta počítá, který nadřízený</w:t>
      </w:r>
      <w:r w:rsidRPr="004A2B30">
        <w:rPr>
          <w:rFonts w:ascii="Garamond" w:hAnsi="Garamond"/>
          <w:color w:val="232323"/>
          <w:sz w:val="24"/>
          <w:szCs w:val="24"/>
        </w:rPr>
        <w:t xml:space="preserve"> orgán o ní rozhoduje a u kterého povinného subjektu se podává.</w:t>
      </w:r>
    </w:p>
    <w:p w:rsidR="00BC000D" w:rsidRPr="004A2B30" w:rsidRDefault="00F72EF1" w:rsidP="00AF7C49">
      <w:pPr>
        <w:shd w:val="clear" w:color="auto" w:fill="FFFFFF"/>
        <w:ind w:left="360"/>
        <w:jc w:val="both"/>
        <w:rPr>
          <w:rFonts w:ascii="Garamond" w:hAnsi="Garamond"/>
          <w:color w:val="232323"/>
          <w:sz w:val="24"/>
          <w:szCs w:val="24"/>
        </w:rPr>
      </w:pPr>
      <w:r w:rsidRPr="004A2B30">
        <w:rPr>
          <w:rFonts w:ascii="Garamond" w:hAnsi="Garamond"/>
          <w:color w:val="232323"/>
          <w:sz w:val="24"/>
          <w:szCs w:val="24"/>
        </w:rPr>
        <w:t>(4) Nesplní-li povinný subjekt vůči žadateli oznamovací povinnost podle odstavce 3, ztrácí nárok na úhradu nákladů.</w:t>
      </w:r>
    </w:p>
    <w:p w:rsidR="00A21F6D" w:rsidRPr="004A2B30" w:rsidRDefault="00A21F6D" w:rsidP="00AF7C49">
      <w:pPr>
        <w:shd w:val="clear" w:color="auto" w:fill="FFFFFF"/>
        <w:ind w:left="360"/>
        <w:jc w:val="both"/>
        <w:rPr>
          <w:rFonts w:ascii="Garamond" w:hAnsi="Garamond"/>
          <w:color w:val="232323"/>
          <w:sz w:val="24"/>
          <w:szCs w:val="24"/>
        </w:rPr>
      </w:pPr>
    </w:p>
    <w:p w:rsidR="00F72EF1" w:rsidRPr="004A2B30" w:rsidRDefault="00F72EF1" w:rsidP="00AF7C49">
      <w:pPr>
        <w:shd w:val="clear" w:color="auto" w:fill="FFFFFF"/>
        <w:ind w:left="360"/>
        <w:jc w:val="both"/>
        <w:rPr>
          <w:rFonts w:ascii="Garamond" w:hAnsi="Garamond"/>
          <w:color w:val="232323"/>
          <w:sz w:val="24"/>
          <w:szCs w:val="24"/>
        </w:rPr>
      </w:pPr>
      <w:r w:rsidRPr="004A2B30">
        <w:rPr>
          <w:rFonts w:ascii="Garamond" w:hAnsi="Garamond"/>
          <w:color w:val="232323"/>
          <w:sz w:val="24"/>
          <w:szCs w:val="24"/>
        </w:rPr>
        <w:t>(5) Poskytnutí informace podle odstavce 3 je podmíněno zaplacením požadované úhrady. Pokud žadatel do 60 dnů ode dne oznámení výše požadované úhrady úhradu nezaplatí, povinný subjekt žádost odloží. Po dobu vyřizování stížnosti proti výši požadované úhrady lhůta podle věty druhé neběží.</w:t>
      </w:r>
    </w:p>
    <w:p w:rsidR="00F72EF1" w:rsidRPr="004A2B30" w:rsidRDefault="00F72EF1" w:rsidP="00BC000D">
      <w:pPr>
        <w:shd w:val="clear" w:color="auto" w:fill="FFFFFF"/>
        <w:ind w:firstLine="360"/>
        <w:jc w:val="both"/>
        <w:rPr>
          <w:rFonts w:ascii="Garamond" w:hAnsi="Garamond"/>
          <w:color w:val="232323"/>
          <w:sz w:val="24"/>
          <w:szCs w:val="24"/>
        </w:rPr>
      </w:pPr>
      <w:r w:rsidRPr="004A2B30">
        <w:rPr>
          <w:rFonts w:ascii="Garamond" w:hAnsi="Garamond"/>
          <w:color w:val="232323"/>
          <w:sz w:val="24"/>
          <w:szCs w:val="24"/>
        </w:rPr>
        <w:t>(6) Úhrada je příjmem povinného subjektu</w:t>
      </w:r>
    </w:p>
    <w:p w:rsidR="000D1FF5" w:rsidRPr="004A2B30" w:rsidRDefault="000D1FF5" w:rsidP="00F72EF1">
      <w:pPr>
        <w:pStyle w:val="Normlnweb"/>
        <w:jc w:val="both"/>
        <w:rPr>
          <w:rFonts w:ascii="Garamond" w:eastAsia="Times New Roman" w:hAnsi="Garamond" w:cs="Arial"/>
        </w:rPr>
      </w:pPr>
    </w:p>
    <w:p w:rsidR="000D1FF5" w:rsidRPr="004A2B30" w:rsidRDefault="007768F7" w:rsidP="007768F7">
      <w:pPr>
        <w:pStyle w:val="Normlnweb"/>
        <w:spacing w:before="0" w:beforeAutospacing="0" w:after="0" w:afterAutospacing="0"/>
        <w:jc w:val="both"/>
        <w:rPr>
          <w:rFonts w:ascii="Garamond" w:eastAsia="Times New Roman" w:hAnsi="Garamond" w:cs="Arial"/>
          <w:b/>
          <w:bCs/>
        </w:rPr>
      </w:pPr>
      <w:r w:rsidRPr="004A2B30">
        <w:rPr>
          <w:rFonts w:ascii="Garamond" w:eastAsia="Times New Roman" w:hAnsi="Garamond" w:cs="Arial"/>
          <w:b/>
          <w:bCs/>
        </w:rPr>
        <w:t>F)</w:t>
      </w:r>
      <w:r w:rsidRPr="004A2B30">
        <w:rPr>
          <w:rFonts w:ascii="Garamond" w:eastAsia="Times New Roman" w:hAnsi="Garamond" w:cs="Arial"/>
          <w:b/>
          <w:bCs/>
        </w:rPr>
        <w:tab/>
      </w:r>
      <w:r w:rsidR="000D1FF5" w:rsidRPr="004A2B30">
        <w:rPr>
          <w:rFonts w:ascii="Garamond" w:eastAsia="Times New Roman" w:hAnsi="Garamond" w:cs="Arial"/>
          <w:b/>
          <w:bCs/>
        </w:rPr>
        <w:t>Výroční zpráva za předcházející kalendářní rok o činnosti v oblasti poskytování informaci</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Aktuální výroční zprávu je možné získat na internetové adrese</w:t>
      </w:r>
      <w:r w:rsidR="00E465BF" w:rsidRPr="004A2B30">
        <w:rPr>
          <w:rFonts w:ascii="Garamond" w:eastAsia="Times New Roman" w:hAnsi="Garamond" w:cs="Arial"/>
        </w:rPr>
        <w:t xml:space="preserve">: </w:t>
      </w:r>
      <w:hyperlink r:id="rId19" w:history="1">
        <w:r w:rsidR="00E465BF" w:rsidRPr="004A2B30">
          <w:rPr>
            <w:rStyle w:val="Hypertextovodkaz"/>
            <w:rFonts w:ascii="Garamond" w:eastAsia="Times New Roman" w:hAnsi="Garamond" w:cs="Arial"/>
          </w:rPr>
          <w:t>https://www.justice.cz/web/okresni-soud-v-trutnove/zakladni-informace?clanek=informace-dle-zakona-c-106-1999-s-1</w:t>
        </w:r>
      </w:hyperlink>
      <w:r w:rsidR="00BE5D0B" w:rsidRPr="004A2B30">
        <w:rPr>
          <w:rFonts w:ascii="Garamond" w:eastAsia="Times New Roman" w:hAnsi="Garamond" w:cs="Arial"/>
        </w:rPr>
        <w:t>.</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7768F7" w:rsidP="007768F7">
      <w:pPr>
        <w:pStyle w:val="Normlnweb"/>
        <w:spacing w:before="0" w:beforeAutospacing="0" w:after="0" w:afterAutospacing="0"/>
        <w:jc w:val="both"/>
        <w:rPr>
          <w:rFonts w:ascii="Garamond" w:eastAsia="Times New Roman" w:hAnsi="Garamond" w:cs="Arial"/>
          <w:b/>
          <w:bCs/>
        </w:rPr>
      </w:pPr>
      <w:r w:rsidRPr="004A2B30">
        <w:rPr>
          <w:rFonts w:ascii="Garamond" w:eastAsia="Times New Roman" w:hAnsi="Garamond" w:cs="Arial"/>
          <w:b/>
          <w:bCs/>
        </w:rPr>
        <w:t xml:space="preserve">G) </w:t>
      </w:r>
      <w:r w:rsidR="008A1D97" w:rsidRPr="004A2B30">
        <w:rPr>
          <w:rFonts w:ascii="Garamond" w:eastAsia="Times New Roman" w:hAnsi="Garamond" w:cs="Arial"/>
          <w:b/>
          <w:bCs/>
        </w:rPr>
        <w:tab/>
      </w:r>
      <w:r w:rsidR="000D1FF5" w:rsidRPr="004A2B30">
        <w:rPr>
          <w:rFonts w:ascii="Garamond" w:eastAsia="Times New Roman" w:hAnsi="Garamond" w:cs="Arial"/>
          <w:b/>
          <w:bCs/>
        </w:rPr>
        <w:t>Výhradní licenc</w:t>
      </w:r>
      <w:r w:rsidR="00AF7C49" w:rsidRPr="004A2B30">
        <w:rPr>
          <w:rFonts w:ascii="Garamond" w:eastAsia="Times New Roman" w:hAnsi="Garamond" w:cs="Arial"/>
          <w:b/>
          <w:bCs/>
        </w:rPr>
        <w:t>e poskytnuté podle § 14a odst. 1</w:t>
      </w:r>
    </w:p>
    <w:p w:rsidR="000D1FF5" w:rsidRPr="004A2B30" w:rsidRDefault="000D1FF5">
      <w:pPr>
        <w:pStyle w:val="Normlnweb"/>
        <w:spacing w:before="0" w:beforeAutospacing="0" w:after="0" w:afterAutospacing="0"/>
        <w:ind w:left="708"/>
        <w:jc w:val="both"/>
        <w:rPr>
          <w:rFonts w:ascii="Garamond" w:eastAsia="Times New Roman" w:hAnsi="Garamond" w:cs="Arial"/>
          <w:b/>
          <w:bCs/>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 xml:space="preserve">Okresní soud v Trutnově nespravuje žádné informace, které jsou předmětem ochrany práva autorského, poskytnuté na základě licenční nebo </w:t>
      </w:r>
      <w:proofErr w:type="spellStart"/>
      <w:r w:rsidRPr="004A2B30">
        <w:rPr>
          <w:rFonts w:ascii="Garamond" w:eastAsia="Times New Roman" w:hAnsi="Garamond" w:cs="Arial"/>
        </w:rPr>
        <w:t>podlicenční</w:t>
      </w:r>
      <w:proofErr w:type="spellEnd"/>
      <w:r w:rsidRPr="004A2B30">
        <w:rPr>
          <w:rFonts w:ascii="Garamond" w:eastAsia="Times New Roman" w:hAnsi="Garamond" w:cs="Arial"/>
        </w:rPr>
        <w:t xml:space="preserve"> smlouvy a majetková práva k předmětu ochrany práva autorského.</w:t>
      </w:r>
    </w:p>
    <w:p w:rsidR="000D1FF5" w:rsidRPr="004A2B30" w:rsidRDefault="000D1FF5">
      <w:pPr>
        <w:pStyle w:val="Normlnweb"/>
        <w:spacing w:before="0" w:beforeAutospacing="0" w:after="0" w:afterAutospacing="0"/>
        <w:ind w:firstLine="708"/>
        <w:jc w:val="both"/>
        <w:rPr>
          <w:rFonts w:ascii="Garamond" w:eastAsia="Times New Roman" w:hAnsi="Garamond" w:cs="Arial"/>
        </w:rPr>
      </w:pPr>
    </w:p>
    <w:p w:rsidR="000D1FF5" w:rsidRPr="004A2B30" w:rsidRDefault="007768F7" w:rsidP="007768F7">
      <w:pPr>
        <w:pStyle w:val="Normlnweb"/>
        <w:spacing w:before="0" w:beforeAutospacing="0" w:after="0" w:afterAutospacing="0"/>
        <w:jc w:val="both"/>
        <w:rPr>
          <w:rFonts w:ascii="Garamond" w:eastAsia="Times New Roman" w:hAnsi="Garamond" w:cs="Arial"/>
          <w:b/>
          <w:bCs/>
        </w:rPr>
      </w:pPr>
      <w:r w:rsidRPr="004A2B30">
        <w:rPr>
          <w:rFonts w:ascii="Garamond" w:eastAsia="Times New Roman" w:hAnsi="Garamond" w:cs="Arial"/>
          <w:b/>
          <w:bCs/>
        </w:rPr>
        <w:t xml:space="preserve">H) </w:t>
      </w:r>
      <w:r w:rsidR="008A1D97" w:rsidRPr="004A2B30">
        <w:rPr>
          <w:rFonts w:ascii="Garamond" w:eastAsia="Times New Roman" w:hAnsi="Garamond" w:cs="Arial"/>
          <w:b/>
          <w:bCs/>
        </w:rPr>
        <w:tab/>
      </w:r>
      <w:r w:rsidR="000D1FF5" w:rsidRPr="004A2B30">
        <w:rPr>
          <w:rFonts w:ascii="Garamond" w:eastAsia="Times New Roman" w:hAnsi="Garamond" w:cs="Arial"/>
          <w:b/>
          <w:bCs/>
        </w:rPr>
        <w:t xml:space="preserve">Usnesení nadřízeného orgánu o výši úhrad vydaná podle § 16a odst. 7 </w:t>
      </w:r>
    </w:p>
    <w:p w:rsidR="000D1FF5" w:rsidRPr="004A2B30" w:rsidRDefault="000D1FF5">
      <w:pPr>
        <w:pStyle w:val="Normlnweb"/>
        <w:spacing w:before="0" w:beforeAutospacing="0" w:after="0" w:afterAutospacing="0"/>
        <w:jc w:val="both"/>
        <w:rPr>
          <w:rFonts w:ascii="Garamond" w:eastAsia="Times New Roman" w:hAnsi="Garamond" w:cs="Arial"/>
          <w:b/>
          <w:bCs/>
        </w:rPr>
      </w:pPr>
    </w:p>
    <w:p w:rsidR="000D1FF5" w:rsidRPr="004A2B30" w:rsidRDefault="000D1FF5" w:rsidP="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Okresní soud v Trutnově nemá k dispozici žádné usnesení nadřízeného orgánu o výši úhra</w:t>
      </w:r>
      <w:r w:rsidR="006C7859" w:rsidRPr="004A2B30">
        <w:rPr>
          <w:rFonts w:ascii="Garamond" w:eastAsia="Times New Roman" w:hAnsi="Garamond" w:cs="Arial"/>
        </w:rPr>
        <w:t>d vydaného podle § 16a odst. 7 z</w:t>
      </w:r>
      <w:r w:rsidR="000E5CEC" w:rsidRPr="004A2B30">
        <w:rPr>
          <w:rFonts w:ascii="Garamond" w:eastAsia="Times New Roman" w:hAnsi="Garamond" w:cs="Arial"/>
        </w:rPr>
        <w:t>ákona</w:t>
      </w:r>
      <w:r w:rsidRPr="004A2B30">
        <w:rPr>
          <w:rFonts w:ascii="Garamond" w:eastAsia="Times New Roman" w:hAnsi="Garamond" w:cs="Arial"/>
        </w:rPr>
        <w:t xml:space="preserve"> o svobodném přístupu k informacím.</w:t>
      </w:r>
    </w:p>
    <w:p w:rsidR="000D1FF5" w:rsidRPr="004A2B30" w:rsidRDefault="000D1FF5">
      <w:pPr>
        <w:pStyle w:val="Normlnweb"/>
        <w:spacing w:before="0" w:beforeAutospacing="0" w:after="0" w:afterAutospacing="0"/>
        <w:ind w:firstLine="709"/>
        <w:jc w:val="both"/>
        <w:rPr>
          <w:rFonts w:ascii="Garamond" w:eastAsia="Times New Roman" w:hAnsi="Garamond" w:cs="Arial"/>
        </w:rPr>
      </w:pPr>
    </w:p>
    <w:p w:rsidR="000D1FF5" w:rsidRPr="004A2B30" w:rsidRDefault="007768F7" w:rsidP="007768F7">
      <w:pPr>
        <w:pStyle w:val="Normlnweb"/>
        <w:spacing w:before="0" w:beforeAutospacing="0" w:after="0" w:afterAutospacing="0"/>
        <w:jc w:val="both"/>
        <w:rPr>
          <w:rFonts w:ascii="Garamond" w:eastAsia="Times New Roman" w:hAnsi="Garamond" w:cs="Arial"/>
          <w:b/>
          <w:bCs/>
        </w:rPr>
      </w:pPr>
      <w:r w:rsidRPr="004A2B30">
        <w:rPr>
          <w:rFonts w:ascii="Garamond" w:eastAsia="Times New Roman" w:hAnsi="Garamond" w:cs="Arial"/>
          <w:b/>
          <w:bCs/>
        </w:rPr>
        <w:t xml:space="preserve">I) </w:t>
      </w:r>
      <w:r w:rsidR="008A1D97" w:rsidRPr="004A2B30">
        <w:rPr>
          <w:rFonts w:ascii="Garamond" w:eastAsia="Times New Roman" w:hAnsi="Garamond" w:cs="Arial"/>
          <w:b/>
          <w:bCs/>
        </w:rPr>
        <w:tab/>
      </w:r>
      <w:r w:rsidR="000D1FF5" w:rsidRPr="004A2B30">
        <w:rPr>
          <w:rFonts w:ascii="Garamond" w:eastAsia="Times New Roman" w:hAnsi="Garamond" w:cs="Arial"/>
          <w:b/>
          <w:bCs/>
        </w:rPr>
        <w:t>Adresa elektronické podatelny</w:t>
      </w:r>
    </w:p>
    <w:p w:rsidR="000D1FF5" w:rsidRPr="004A2B30" w:rsidRDefault="000D1FF5">
      <w:pPr>
        <w:pStyle w:val="Normlnweb"/>
        <w:spacing w:before="0" w:beforeAutospacing="0" w:after="0" w:afterAutospacing="0"/>
        <w:jc w:val="both"/>
        <w:rPr>
          <w:rFonts w:ascii="Garamond" w:eastAsia="Times New Roman" w:hAnsi="Garamond" w:cs="Arial"/>
          <w:b/>
          <w:bCs/>
        </w:rPr>
      </w:pPr>
    </w:p>
    <w:p w:rsidR="000D1FF5" w:rsidRPr="004A2B30" w:rsidRDefault="00BA769B" w:rsidP="000E5CEC">
      <w:pPr>
        <w:pStyle w:val="Normlnweb"/>
        <w:spacing w:before="0" w:beforeAutospacing="0" w:after="0" w:afterAutospacing="0"/>
        <w:jc w:val="both"/>
        <w:rPr>
          <w:rFonts w:ascii="Garamond" w:eastAsia="Times New Roman" w:hAnsi="Garamond" w:cs="Arial"/>
        </w:rPr>
      </w:pPr>
      <w:hyperlink r:id="rId20" w:history="1">
        <w:r w:rsidR="000D1FF5" w:rsidRPr="004A2B30">
          <w:rPr>
            <w:rStyle w:val="Hypertextovodkaz"/>
            <w:rFonts w:ascii="Garamond" w:hAnsi="Garamond" w:cs="Arial"/>
          </w:rPr>
          <w:t>podatelna@osoud.tru.justice.cz</w:t>
        </w:r>
      </w:hyperlink>
    </w:p>
    <w:p w:rsidR="000D1FF5" w:rsidRPr="004A2B30" w:rsidRDefault="000D1FF5">
      <w:pPr>
        <w:pStyle w:val="Normlnweb"/>
        <w:spacing w:before="0" w:beforeAutospacing="0" w:after="0" w:afterAutospacing="0"/>
        <w:jc w:val="both"/>
        <w:rPr>
          <w:rFonts w:ascii="Garamond" w:eastAsia="Times New Roman" w:hAnsi="Garamond" w:cs="Arial"/>
        </w:rPr>
      </w:pPr>
    </w:p>
    <w:p w:rsidR="000D1FF5" w:rsidRPr="004A2B30" w:rsidRDefault="000D1FF5">
      <w:pPr>
        <w:pStyle w:val="Normlnweb"/>
        <w:spacing w:before="0" w:beforeAutospacing="0" w:after="0" w:afterAutospacing="0"/>
        <w:jc w:val="both"/>
        <w:rPr>
          <w:rFonts w:ascii="Garamond" w:eastAsia="Times New Roman" w:hAnsi="Garamond" w:cs="Arial"/>
        </w:rPr>
      </w:pPr>
    </w:p>
    <w:p w:rsidR="000D1FF5" w:rsidRPr="004A2B30" w:rsidRDefault="000E5CEC">
      <w:pPr>
        <w:pStyle w:val="Normlnweb"/>
        <w:spacing w:before="0" w:beforeAutospacing="0" w:after="0" w:afterAutospacing="0"/>
        <w:jc w:val="both"/>
        <w:rPr>
          <w:rFonts w:ascii="Garamond" w:eastAsia="Times New Roman" w:hAnsi="Garamond" w:cs="Arial"/>
        </w:rPr>
      </w:pPr>
      <w:r w:rsidRPr="004A2B30">
        <w:rPr>
          <w:rFonts w:ascii="Garamond" w:eastAsia="Times New Roman" w:hAnsi="Garamond" w:cs="Arial"/>
        </w:rPr>
        <w:t>Trutnov dne 22. 2. 2024</w:t>
      </w:r>
    </w:p>
    <w:p w:rsidR="000D1FF5" w:rsidRPr="004A2B30" w:rsidRDefault="000D1FF5">
      <w:pPr>
        <w:pStyle w:val="Normlnweb"/>
        <w:spacing w:before="0" w:beforeAutospacing="0" w:after="0" w:afterAutospacing="0"/>
        <w:jc w:val="both"/>
        <w:rPr>
          <w:rFonts w:ascii="Garamond" w:eastAsia="Times New Roman" w:hAnsi="Garamond" w:cs="Arial"/>
        </w:rPr>
      </w:pPr>
    </w:p>
    <w:p w:rsidR="000E5CEC" w:rsidRPr="004A2B30" w:rsidRDefault="000E5CEC" w:rsidP="000E5CEC">
      <w:pPr>
        <w:pStyle w:val="Normlnweb"/>
        <w:spacing w:before="0" w:beforeAutospacing="0" w:after="0" w:afterAutospacing="0"/>
        <w:rPr>
          <w:rFonts w:ascii="Garamond" w:eastAsia="Times New Roman" w:hAnsi="Garamond" w:cs="Arial"/>
        </w:rPr>
      </w:pPr>
    </w:p>
    <w:p w:rsidR="000D1FF5" w:rsidRPr="004A2B30" w:rsidRDefault="000E5CEC" w:rsidP="000E5CEC">
      <w:pPr>
        <w:pStyle w:val="Normlnweb"/>
        <w:spacing w:before="0" w:beforeAutospacing="0" w:after="0" w:afterAutospacing="0"/>
        <w:rPr>
          <w:rFonts w:ascii="Garamond" w:eastAsia="Times New Roman" w:hAnsi="Garamond" w:cs="Arial"/>
        </w:rPr>
      </w:pPr>
      <w:r w:rsidRPr="004A2B30">
        <w:rPr>
          <w:rFonts w:ascii="Garamond" w:eastAsia="Times New Roman" w:hAnsi="Garamond" w:cs="Arial"/>
        </w:rPr>
        <w:t>Mgr. Miroslava Purkertová</w:t>
      </w:r>
    </w:p>
    <w:p w:rsidR="000D1FF5" w:rsidRPr="004A2B30" w:rsidRDefault="000D1FF5" w:rsidP="000E5CEC">
      <w:pPr>
        <w:pStyle w:val="Normlnweb"/>
        <w:spacing w:before="0" w:beforeAutospacing="0" w:after="0" w:afterAutospacing="0"/>
        <w:rPr>
          <w:rFonts w:ascii="Garamond" w:eastAsia="Times New Roman" w:hAnsi="Garamond" w:cs="Arial"/>
        </w:rPr>
      </w:pPr>
      <w:r w:rsidRPr="004A2B30">
        <w:rPr>
          <w:rFonts w:ascii="Garamond" w:eastAsia="Times New Roman" w:hAnsi="Garamond" w:cs="Arial"/>
        </w:rPr>
        <w:t>předsedkyně okresního soudu v Trutnově</w:t>
      </w:r>
    </w:p>
    <w:sectPr w:rsidR="000D1FF5" w:rsidRPr="004A2B30" w:rsidSect="008374B6">
      <w:headerReference w:type="default" r:id="rId21"/>
      <w:headerReference w:type="first" r:id="rId22"/>
      <w:pgSz w:w="11907" w:h="16840" w:code="9"/>
      <w:pgMar w:top="794" w:right="1418" w:bottom="794" w:left="1418" w:header="1020" w:footer="119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9B" w:rsidRDefault="00BA769B">
      <w:r>
        <w:separator/>
      </w:r>
    </w:p>
  </w:endnote>
  <w:endnote w:type="continuationSeparator" w:id="0">
    <w:p w:rsidR="00BA769B" w:rsidRDefault="00BA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9B" w:rsidRDefault="00BA769B">
      <w:r>
        <w:separator/>
      </w:r>
    </w:p>
  </w:footnote>
  <w:footnote w:type="continuationSeparator" w:id="0">
    <w:p w:rsidR="00BA769B" w:rsidRDefault="00BA7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F1" w:rsidRPr="008374B6" w:rsidRDefault="008374B6" w:rsidP="008374B6">
    <w:pPr>
      <w:pStyle w:val="Zhlav"/>
      <w:jc w:val="right"/>
      <w:rPr>
        <w:rFonts w:ascii="Garamond" w:hAnsi="Garamond"/>
      </w:rPr>
    </w:pPr>
    <w:r w:rsidRPr="008374B6">
      <w:rPr>
        <w:rFonts w:ascii="Garamond" w:hAnsi="Garamond"/>
      </w:rPr>
      <w:t xml:space="preserve">35 </w:t>
    </w:r>
    <w:proofErr w:type="spellStart"/>
    <w:r w:rsidRPr="008374B6">
      <w:rPr>
        <w:rFonts w:ascii="Garamond" w:hAnsi="Garamond"/>
      </w:rPr>
      <w:t>Spr</w:t>
    </w:r>
    <w:proofErr w:type="spellEnd"/>
    <w:r w:rsidRPr="008374B6">
      <w:rPr>
        <w:rFonts w:ascii="Garamond" w:hAnsi="Garamond"/>
      </w:rPr>
      <w:t xml:space="preserve"> 216/2024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F1" w:rsidRDefault="00F72EF1">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9E3"/>
    <w:multiLevelType w:val="hybridMultilevel"/>
    <w:tmpl w:val="68CA901A"/>
    <w:lvl w:ilvl="0" w:tplc="AB1488FA">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1CE682D"/>
    <w:multiLevelType w:val="hybridMultilevel"/>
    <w:tmpl w:val="4FAC0E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0C57AC"/>
    <w:multiLevelType w:val="hybridMultilevel"/>
    <w:tmpl w:val="8A601F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9FC2B08"/>
    <w:multiLevelType w:val="hybridMultilevel"/>
    <w:tmpl w:val="190A042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A324684"/>
    <w:multiLevelType w:val="hybridMultilevel"/>
    <w:tmpl w:val="05BC41F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CFA74CD"/>
    <w:multiLevelType w:val="hybridMultilevel"/>
    <w:tmpl w:val="6CECFC50"/>
    <w:lvl w:ilvl="0" w:tplc="5B74D30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FC6A5D"/>
    <w:multiLevelType w:val="hybridMultilevel"/>
    <w:tmpl w:val="9EAE09AC"/>
    <w:lvl w:ilvl="0" w:tplc="3BA6AD0E">
      <w:start w:val="1"/>
      <w:numFmt w:val="lowerLetter"/>
      <w:lvlText w:val="%1)"/>
      <w:lvlJc w:val="right"/>
      <w:pPr>
        <w:tabs>
          <w:tab w:val="num" w:pos="360"/>
        </w:tabs>
        <w:ind w:left="360" w:hanging="7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5B7C4F"/>
    <w:multiLevelType w:val="hybridMultilevel"/>
    <w:tmpl w:val="5B60CFA6"/>
    <w:lvl w:ilvl="0" w:tplc="9A0656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6E5687"/>
    <w:multiLevelType w:val="hybridMultilevel"/>
    <w:tmpl w:val="2C74C4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890D6A"/>
    <w:multiLevelType w:val="hybridMultilevel"/>
    <w:tmpl w:val="AB1CCD4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CB62056"/>
    <w:multiLevelType w:val="hybridMultilevel"/>
    <w:tmpl w:val="6C5C97E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1DC67E2C"/>
    <w:multiLevelType w:val="hybridMultilevel"/>
    <w:tmpl w:val="3B80F736"/>
    <w:lvl w:ilvl="0" w:tplc="2542DD6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58F0D92"/>
    <w:multiLevelType w:val="hybridMultilevel"/>
    <w:tmpl w:val="47AE4244"/>
    <w:lvl w:ilvl="0" w:tplc="5B74D30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9C5F69"/>
    <w:multiLevelType w:val="hybridMultilevel"/>
    <w:tmpl w:val="156E82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6A953C1"/>
    <w:multiLevelType w:val="hybridMultilevel"/>
    <w:tmpl w:val="0B6EF62A"/>
    <w:lvl w:ilvl="0" w:tplc="5B74D306">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D3C18CA"/>
    <w:multiLevelType w:val="hybridMultilevel"/>
    <w:tmpl w:val="24EA9D50"/>
    <w:lvl w:ilvl="0" w:tplc="113EB9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F131805"/>
    <w:multiLevelType w:val="hybridMultilevel"/>
    <w:tmpl w:val="59129218"/>
    <w:lvl w:ilvl="0" w:tplc="5B74D30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704170"/>
    <w:multiLevelType w:val="hybridMultilevel"/>
    <w:tmpl w:val="BDCA8FC8"/>
    <w:lvl w:ilvl="0" w:tplc="1A6AB20A">
      <w:numFmt w:val="bullet"/>
      <w:lvlText w:val="-"/>
      <w:lvlJc w:val="left"/>
      <w:pPr>
        <w:tabs>
          <w:tab w:val="num" w:pos="1493"/>
        </w:tabs>
        <w:ind w:left="1493" w:hanging="360"/>
      </w:pPr>
      <w:rPr>
        <w:rFonts w:ascii="Times New Roman" w:eastAsia="Times New Roman" w:hAnsi="Times New Roman" w:cs="Times New Roman" w:hint="default"/>
      </w:rPr>
    </w:lvl>
    <w:lvl w:ilvl="1" w:tplc="04050003" w:tentative="1">
      <w:start w:val="1"/>
      <w:numFmt w:val="bullet"/>
      <w:lvlText w:val="o"/>
      <w:lvlJc w:val="left"/>
      <w:pPr>
        <w:tabs>
          <w:tab w:val="num" w:pos="2213"/>
        </w:tabs>
        <w:ind w:left="2213" w:hanging="360"/>
      </w:pPr>
      <w:rPr>
        <w:rFonts w:ascii="Courier New" w:hAnsi="Courier New" w:hint="default"/>
      </w:rPr>
    </w:lvl>
    <w:lvl w:ilvl="2" w:tplc="04050005" w:tentative="1">
      <w:start w:val="1"/>
      <w:numFmt w:val="bullet"/>
      <w:lvlText w:val=""/>
      <w:lvlJc w:val="left"/>
      <w:pPr>
        <w:tabs>
          <w:tab w:val="num" w:pos="2933"/>
        </w:tabs>
        <w:ind w:left="2933" w:hanging="360"/>
      </w:pPr>
      <w:rPr>
        <w:rFonts w:ascii="Wingdings" w:hAnsi="Wingdings" w:hint="default"/>
      </w:rPr>
    </w:lvl>
    <w:lvl w:ilvl="3" w:tplc="04050001" w:tentative="1">
      <w:start w:val="1"/>
      <w:numFmt w:val="bullet"/>
      <w:lvlText w:val=""/>
      <w:lvlJc w:val="left"/>
      <w:pPr>
        <w:tabs>
          <w:tab w:val="num" w:pos="3653"/>
        </w:tabs>
        <w:ind w:left="3653" w:hanging="360"/>
      </w:pPr>
      <w:rPr>
        <w:rFonts w:ascii="Symbol" w:hAnsi="Symbol" w:hint="default"/>
      </w:rPr>
    </w:lvl>
    <w:lvl w:ilvl="4" w:tplc="04050003" w:tentative="1">
      <w:start w:val="1"/>
      <w:numFmt w:val="bullet"/>
      <w:lvlText w:val="o"/>
      <w:lvlJc w:val="left"/>
      <w:pPr>
        <w:tabs>
          <w:tab w:val="num" w:pos="4373"/>
        </w:tabs>
        <w:ind w:left="4373" w:hanging="360"/>
      </w:pPr>
      <w:rPr>
        <w:rFonts w:ascii="Courier New" w:hAnsi="Courier New" w:hint="default"/>
      </w:rPr>
    </w:lvl>
    <w:lvl w:ilvl="5" w:tplc="04050005" w:tentative="1">
      <w:start w:val="1"/>
      <w:numFmt w:val="bullet"/>
      <w:lvlText w:val=""/>
      <w:lvlJc w:val="left"/>
      <w:pPr>
        <w:tabs>
          <w:tab w:val="num" w:pos="5093"/>
        </w:tabs>
        <w:ind w:left="5093" w:hanging="360"/>
      </w:pPr>
      <w:rPr>
        <w:rFonts w:ascii="Wingdings" w:hAnsi="Wingdings" w:hint="default"/>
      </w:rPr>
    </w:lvl>
    <w:lvl w:ilvl="6" w:tplc="04050001" w:tentative="1">
      <w:start w:val="1"/>
      <w:numFmt w:val="bullet"/>
      <w:lvlText w:val=""/>
      <w:lvlJc w:val="left"/>
      <w:pPr>
        <w:tabs>
          <w:tab w:val="num" w:pos="5813"/>
        </w:tabs>
        <w:ind w:left="5813" w:hanging="360"/>
      </w:pPr>
      <w:rPr>
        <w:rFonts w:ascii="Symbol" w:hAnsi="Symbol" w:hint="default"/>
      </w:rPr>
    </w:lvl>
    <w:lvl w:ilvl="7" w:tplc="04050003" w:tentative="1">
      <w:start w:val="1"/>
      <w:numFmt w:val="bullet"/>
      <w:lvlText w:val="o"/>
      <w:lvlJc w:val="left"/>
      <w:pPr>
        <w:tabs>
          <w:tab w:val="num" w:pos="6533"/>
        </w:tabs>
        <w:ind w:left="6533" w:hanging="360"/>
      </w:pPr>
      <w:rPr>
        <w:rFonts w:ascii="Courier New" w:hAnsi="Courier New" w:hint="default"/>
      </w:rPr>
    </w:lvl>
    <w:lvl w:ilvl="8" w:tplc="04050005" w:tentative="1">
      <w:start w:val="1"/>
      <w:numFmt w:val="bullet"/>
      <w:lvlText w:val=""/>
      <w:lvlJc w:val="left"/>
      <w:pPr>
        <w:tabs>
          <w:tab w:val="num" w:pos="7253"/>
        </w:tabs>
        <w:ind w:left="7253" w:hanging="360"/>
      </w:pPr>
      <w:rPr>
        <w:rFonts w:ascii="Wingdings" w:hAnsi="Wingdings" w:hint="default"/>
      </w:rPr>
    </w:lvl>
  </w:abstractNum>
  <w:abstractNum w:abstractNumId="18">
    <w:nsid w:val="346675F8"/>
    <w:multiLevelType w:val="hybridMultilevel"/>
    <w:tmpl w:val="452030E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5FD78B8"/>
    <w:multiLevelType w:val="hybridMultilevel"/>
    <w:tmpl w:val="F010540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E7676E4"/>
    <w:multiLevelType w:val="hybridMultilevel"/>
    <w:tmpl w:val="B2C23B8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0C91CDE"/>
    <w:multiLevelType w:val="hybridMultilevel"/>
    <w:tmpl w:val="8FF65A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7C0651C"/>
    <w:multiLevelType w:val="hybridMultilevel"/>
    <w:tmpl w:val="C80AC9D8"/>
    <w:lvl w:ilvl="0" w:tplc="7CFC63E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DF27D85"/>
    <w:multiLevelType w:val="hybridMultilevel"/>
    <w:tmpl w:val="8680508E"/>
    <w:lvl w:ilvl="0" w:tplc="5B74D30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4660A22"/>
    <w:multiLevelType w:val="hybridMultilevel"/>
    <w:tmpl w:val="1AB8618C"/>
    <w:lvl w:ilvl="0" w:tplc="0405000F">
      <w:start w:val="1"/>
      <w:numFmt w:val="decimal"/>
      <w:lvlText w:val="%1."/>
      <w:lvlJc w:val="left"/>
      <w:pPr>
        <w:tabs>
          <w:tab w:val="num" w:pos="720"/>
        </w:tabs>
        <w:ind w:left="720" w:hanging="360"/>
      </w:pPr>
      <w:rPr>
        <w:rFonts w:hint="default"/>
      </w:rPr>
    </w:lvl>
    <w:lvl w:ilvl="1" w:tplc="B914C2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9084722"/>
    <w:multiLevelType w:val="hybridMultilevel"/>
    <w:tmpl w:val="1A2A03FE"/>
    <w:lvl w:ilvl="0" w:tplc="262A7710">
      <w:start w:val="1"/>
      <w:numFmt w:val="decimal"/>
      <w:lvlText w:val="%1."/>
      <w:lvlJc w:val="left"/>
      <w:pPr>
        <w:tabs>
          <w:tab w:val="num" w:pos="1668"/>
        </w:tabs>
        <w:ind w:left="1668" w:hanging="9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nsid w:val="59684577"/>
    <w:multiLevelType w:val="hybridMultilevel"/>
    <w:tmpl w:val="8D3CDEF2"/>
    <w:lvl w:ilvl="0" w:tplc="4508CB8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A8558EC"/>
    <w:multiLevelType w:val="hybridMultilevel"/>
    <w:tmpl w:val="28106D2E"/>
    <w:lvl w:ilvl="0" w:tplc="11589B46">
      <w:start w:val="13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EF109BD"/>
    <w:multiLevelType w:val="hybridMultilevel"/>
    <w:tmpl w:val="A6EC2C7C"/>
    <w:lvl w:ilvl="0" w:tplc="575482B0">
      <w:start w:val="1"/>
      <w:numFmt w:val="decimal"/>
      <w:lvlText w:val="(%1)"/>
      <w:lvlJc w:val="left"/>
      <w:pPr>
        <w:tabs>
          <w:tab w:val="num" w:pos="717"/>
        </w:tabs>
        <w:ind w:left="0" w:firstLine="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1E01E6C"/>
    <w:multiLevelType w:val="hybridMultilevel"/>
    <w:tmpl w:val="DF9CDD4C"/>
    <w:lvl w:ilvl="0" w:tplc="B4408488">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3CE2A62"/>
    <w:multiLevelType w:val="hybridMultilevel"/>
    <w:tmpl w:val="101C88E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601791F"/>
    <w:multiLevelType w:val="hybridMultilevel"/>
    <w:tmpl w:val="E36E7B0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7880A80"/>
    <w:multiLevelType w:val="hybridMultilevel"/>
    <w:tmpl w:val="F5F8C232"/>
    <w:lvl w:ilvl="0" w:tplc="732CE9DE">
      <w:start w:val="1"/>
      <w:numFmt w:val="bullet"/>
      <w:lvlText w:val=""/>
      <w:lvlJc w:val="left"/>
      <w:pPr>
        <w:tabs>
          <w:tab w:val="num" w:pos="720"/>
        </w:tabs>
        <w:ind w:left="720" w:hanging="360"/>
      </w:pPr>
      <w:rPr>
        <w:rFonts w:ascii="Symbol" w:hAnsi="Symbol" w:hint="default"/>
        <w:sz w:val="20"/>
      </w:rPr>
    </w:lvl>
    <w:lvl w:ilvl="1" w:tplc="0405000F">
      <w:start w:val="1"/>
      <w:numFmt w:val="decimal"/>
      <w:lvlText w:val="%2."/>
      <w:lvlJc w:val="left"/>
      <w:pPr>
        <w:tabs>
          <w:tab w:val="num" w:pos="1440"/>
        </w:tabs>
        <w:ind w:left="1440" w:hanging="360"/>
      </w:pPr>
    </w:lvl>
    <w:lvl w:ilvl="2" w:tplc="D6CE1C9A" w:tentative="1">
      <w:start w:val="1"/>
      <w:numFmt w:val="bullet"/>
      <w:lvlText w:val=""/>
      <w:lvlJc w:val="left"/>
      <w:pPr>
        <w:tabs>
          <w:tab w:val="num" w:pos="2160"/>
        </w:tabs>
        <w:ind w:left="2160" w:hanging="360"/>
      </w:pPr>
      <w:rPr>
        <w:rFonts w:ascii="Wingdings" w:hAnsi="Wingdings" w:hint="default"/>
        <w:sz w:val="20"/>
      </w:rPr>
    </w:lvl>
    <w:lvl w:ilvl="3" w:tplc="821E5CD6" w:tentative="1">
      <w:start w:val="1"/>
      <w:numFmt w:val="bullet"/>
      <w:lvlText w:val=""/>
      <w:lvlJc w:val="left"/>
      <w:pPr>
        <w:tabs>
          <w:tab w:val="num" w:pos="2880"/>
        </w:tabs>
        <w:ind w:left="2880" w:hanging="360"/>
      </w:pPr>
      <w:rPr>
        <w:rFonts w:ascii="Wingdings" w:hAnsi="Wingdings" w:hint="default"/>
        <w:sz w:val="20"/>
      </w:rPr>
    </w:lvl>
    <w:lvl w:ilvl="4" w:tplc="D89A4012" w:tentative="1">
      <w:start w:val="1"/>
      <w:numFmt w:val="bullet"/>
      <w:lvlText w:val=""/>
      <w:lvlJc w:val="left"/>
      <w:pPr>
        <w:tabs>
          <w:tab w:val="num" w:pos="3600"/>
        </w:tabs>
        <w:ind w:left="3600" w:hanging="360"/>
      </w:pPr>
      <w:rPr>
        <w:rFonts w:ascii="Wingdings" w:hAnsi="Wingdings" w:hint="default"/>
        <w:sz w:val="20"/>
      </w:rPr>
    </w:lvl>
    <w:lvl w:ilvl="5" w:tplc="5FDE349A" w:tentative="1">
      <w:start w:val="1"/>
      <w:numFmt w:val="bullet"/>
      <w:lvlText w:val=""/>
      <w:lvlJc w:val="left"/>
      <w:pPr>
        <w:tabs>
          <w:tab w:val="num" w:pos="4320"/>
        </w:tabs>
        <w:ind w:left="4320" w:hanging="360"/>
      </w:pPr>
      <w:rPr>
        <w:rFonts w:ascii="Wingdings" w:hAnsi="Wingdings" w:hint="default"/>
        <w:sz w:val="20"/>
      </w:rPr>
    </w:lvl>
    <w:lvl w:ilvl="6" w:tplc="6CCC599A" w:tentative="1">
      <w:start w:val="1"/>
      <w:numFmt w:val="bullet"/>
      <w:lvlText w:val=""/>
      <w:lvlJc w:val="left"/>
      <w:pPr>
        <w:tabs>
          <w:tab w:val="num" w:pos="5040"/>
        </w:tabs>
        <w:ind w:left="5040" w:hanging="360"/>
      </w:pPr>
      <w:rPr>
        <w:rFonts w:ascii="Wingdings" w:hAnsi="Wingdings" w:hint="default"/>
        <w:sz w:val="20"/>
      </w:rPr>
    </w:lvl>
    <w:lvl w:ilvl="7" w:tplc="D864FC6E" w:tentative="1">
      <w:start w:val="1"/>
      <w:numFmt w:val="bullet"/>
      <w:lvlText w:val=""/>
      <w:lvlJc w:val="left"/>
      <w:pPr>
        <w:tabs>
          <w:tab w:val="num" w:pos="5760"/>
        </w:tabs>
        <w:ind w:left="5760" w:hanging="360"/>
      </w:pPr>
      <w:rPr>
        <w:rFonts w:ascii="Wingdings" w:hAnsi="Wingdings" w:hint="default"/>
        <w:sz w:val="20"/>
      </w:rPr>
    </w:lvl>
    <w:lvl w:ilvl="8" w:tplc="D49C253C"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952C6B"/>
    <w:multiLevelType w:val="multilevel"/>
    <w:tmpl w:val="56AC9A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EA27B90"/>
    <w:multiLevelType w:val="hybridMultilevel"/>
    <w:tmpl w:val="81621928"/>
    <w:lvl w:ilvl="0" w:tplc="5B74D30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874CF7"/>
    <w:multiLevelType w:val="hybridMultilevel"/>
    <w:tmpl w:val="CF880C32"/>
    <w:lvl w:ilvl="0" w:tplc="FFFFFFFF">
      <w:start w:val="1"/>
      <w:numFmt w:val="decimal"/>
      <w:lvlText w:val="(%1)"/>
      <w:lvlJc w:val="left"/>
      <w:pPr>
        <w:tabs>
          <w:tab w:val="num" w:pos="717"/>
        </w:tabs>
        <w:ind w:left="0" w:firstLine="357"/>
      </w:pPr>
      <w:rPr>
        <w:rFonts w:hint="default"/>
      </w:rPr>
    </w:lvl>
    <w:lvl w:ilvl="1" w:tplc="FFFFFFFF">
      <w:start w:val="1"/>
      <w:numFmt w:val="decimal"/>
      <w:lvlText w:val="(%2)"/>
      <w:lvlJc w:val="left"/>
      <w:pPr>
        <w:tabs>
          <w:tab w:val="num" w:pos="717"/>
        </w:tabs>
        <w:ind w:left="0" w:firstLine="35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31B2E36"/>
    <w:multiLevelType w:val="hybridMultilevel"/>
    <w:tmpl w:val="F9BC60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8466AFB"/>
    <w:multiLevelType w:val="hybridMultilevel"/>
    <w:tmpl w:val="1A86E5AC"/>
    <w:lvl w:ilvl="0" w:tplc="56AA4D6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DBA158A"/>
    <w:multiLevelType w:val="hybridMultilevel"/>
    <w:tmpl w:val="4792FA7A"/>
    <w:lvl w:ilvl="0" w:tplc="8898AC5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24"/>
  </w:num>
  <w:num w:numId="3">
    <w:abstractNumId w:val="18"/>
  </w:num>
  <w:num w:numId="4">
    <w:abstractNumId w:val="17"/>
  </w:num>
  <w:num w:numId="5">
    <w:abstractNumId w:val="13"/>
  </w:num>
  <w:num w:numId="6">
    <w:abstractNumId w:val="15"/>
  </w:num>
  <w:num w:numId="7">
    <w:abstractNumId w:val="30"/>
  </w:num>
  <w:num w:numId="8">
    <w:abstractNumId w:val="25"/>
  </w:num>
  <w:num w:numId="9">
    <w:abstractNumId w:val="2"/>
  </w:num>
  <w:num w:numId="10">
    <w:abstractNumId w:val="10"/>
  </w:num>
  <w:num w:numId="11">
    <w:abstractNumId w:val="0"/>
  </w:num>
  <w:num w:numId="12">
    <w:abstractNumId w:val="8"/>
  </w:num>
  <w:num w:numId="13">
    <w:abstractNumId w:val="20"/>
  </w:num>
  <w:num w:numId="14">
    <w:abstractNumId w:val="21"/>
  </w:num>
  <w:num w:numId="15">
    <w:abstractNumId w:val="36"/>
  </w:num>
  <w:num w:numId="16">
    <w:abstractNumId w:val="16"/>
  </w:num>
  <w:num w:numId="17">
    <w:abstractNumId w:val="14"/>
  </w:num>
  <w:num w:numId="18">
    <w:abstractNumId w:val="12"/>
  </w:num>
  <w:num w:numId="19">
    <w:abstractNumId w:val="23"/>
  </w:num>
  <w:num w:numId="20">
    <w:abstractNumId w:val="34"/>
  </w:num>
  <w:num w:numId="21">
    <w:abstractNumId w:val="26"/>
  </w:num>
  <w:num w:numId="22">
    <w:abstractNumId w:val="19"/>
  </w:num>
  <w:num w:numId="23">
    <w:abstractNumId w:val="3"/>
  </w:num>
  <w:num w:numId="24">
    <w:abstractNumId w:val="31"/>
  </w:num>
  <w:num w:numId="25">
    <w:abstractNumId w:val="9"/>
  </w:num>
  <w:num w:numId="26">
    <w:abstractNumId w:val="35"/>
  </w:num>
  <w:num w:numId="27">
    <w:abstractNumId w:val="11"/>
  </w:num>
  <w:num w:numId="28">
    <w:abstractNumId w:val="28"/>
  </w:num>
  <w:num w:numId="29">
    <w:abstractNumId w:val="6"/>
  </w:num>
  <w:num w:numId="30">
    <w:abstractNumId w:val="22"/>
  </w:num>
  <w:num w:numId="31">
    <w:abstractNumId w:val="38"/>
  </w:num>
  <w:num w:numId="32">
    <w:abstractNumId w:val="32"/>
  </w:num>
  <w:num w:numId="33">
    <w:abstractNumId w:val="37"/>
  </w:num>
  <w:num w:numId="34">
    <w:abstractNumId w:val="4"/>
  </w:num>
  <w:num w:numId="35">
    <w:abstractNumId w:val="5"/>
  </w:num>
  <w:num w:numId="36">
    <w:abstractNumId w:val="29"/>
  </w:num>
  <w:num w:numId="37">
    <w:abstractNumId w:val="1"/>
  </w:num>
  <w:num w:numId="38">
    <w:abstractNumId w:val="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OPEN_SPUSTENO" w:val="T"/>
    <w:docVar w:name="DB_ID_DOK" w:val="informace OSTU o svobodné 2024/02/26 08:56:41"/>
    <w:docVar w:name="DOKUMENT_ADRESAR_FS" w:val="C:\TMP\DB"/>
    <w:docVar w:name="DOKUMENT_AUTOMATICKE_UKLADANI" w:val="ANO"/>
    <w:docVar w:name="DOKUMENT_PERIODA_UKLADANI" w:val="5"/>
    <w:docVar w:name="DOKUMENT_ULOZIT_JAKO_DOCX" w:val="ANO"/>
  </w:docVars>
  <w:rsids>
    <w:rsidRoot w:val="001747CD"/>
    <w:rsid w:val="000A5286"/>
    <w:rsid w:val="000D1FF5"/>
    <w:rsid w:val="000E5CEC"/>
    <w:rsid w:val="00143632"/>
    <w:rsid w:val="00173FD6"/>
    <w:rsid w:val="001747CD"/>
    <w:rsid w:val="002029F9"/>
    <w:rsid w:val="002A53A1"/>
    <w:rsid w:val="002D469B"/>
    <w:rsid w:val="0037306B"/>
    <w:rsid w:val="00377629"/>
    <w:rsid w:val="003A6334"/>
    <w:rsid w:val="003D55E4"/>
    <w:rsid w:val="003F14A5"/>
    <w:rsid w:val="004957F3"/>
    <w:rsid w:val="004A2B30"/>
    <w:rsid w:val="004A31D1"/>
    <w:rsid w:val="004B5295"/>
    <w:rsid w:val="004F0010"/>
    <w:rsid w:val="00510A89"/>
    <w:rsid w:val="006C7859"/>
    <w:rsid w:val="006D4D03"/>
    <w:rsid w:val="007768F7"/>
    <w:rsid w:val="007E1FC7"/>
    <w:rsid w:val="008374B6"/>
    <w:rsid w:val="008514F9"/>
    <w:rsid w:val="008A1D97"/>
    <w:rsid w:val="0090285E"/>
    <w:rsid w:val="00986A03"/>
    <w:rsid w:val="009C70FE"/>
    <w:rsid w:val="00A21F6D"/>
    <w:rsid w:val="00A82C82"/>
    <w:rsid w:val="00AC1A54"/>
    <w:rsid w:val="00AF3659"/>
    <w:rsid w:val="00AF7C49"/>
    <w:rsid w:val="00BA769B"/>
    <w:rsid w:val="00BB6469"/>
    <w:rsid w:val="00BC000D"/>
    <w:rsid w:val="00BC4349"/>
    <w:rsid w:val="00BE5D0B"/>
    <w:rsid w:val="00BF559E"/>
    <w:rsid w:val="00D24598"/>
    <w:rsid w:val="00D24D2A"/>
    <w:rsid w:val="00D9764F"/>
    <w:rsid w:val="00DD1C04"/>
    <w:rsid w:val="00DD3037"/>
    <w:rsid w:val="00E465BF"/>
    <w:rsid w:val="00E7540C"/>
    <w:rsid w:val="00ED5375"/>
    <w:rsid w:val="00F71B30"/>
    <w:rsid w:val="00F72EF1"/>
    <w:rsid w:val="00F742C9"/>
    <w:rsid w:val="00FA70FF"/>
    <w:rsid w:val="00FB6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right"/>
      <w:outlineLvl w:val="1"/>
    </w:pPr>
    <w:rPr>
      <w:sz w:val="24"/>
    </w:rPr>
  </w:style>
  <w:style w:type="paragraph" w:styleId="Nadpis3">
    <w:name w:val="heading 3"/>
    <w:basedOn w:val="Normln"/>
    <w:next w:val="Normln"/>
    <w:qFormat/>
    <w:pPr>
      <w:keepNext/>
      <w:jc w:val="both"/>
      <w:outlineLvl w:val="2"/>
    </w:pPr>
    <w:rPr>
      <w:sz w:val="24"/>
    </w:rPr>
  </w:style>
  <w:style w:type="paragraph" w:styleId="Nadpis4">
    <w:name w:val="heading 4"/>
    <w:basedOn w:val="Normln"/>
    <w:next w:val="Normln"/>
    <w:qFormat/>
    <w:pPr>
      <w:keepNext/>
      <w:tabs>
        <w:tab w:val="left" w:pos="0"/>
      </w:tabs>
      <w:ind w:left="-851"/>
      <w:jc w:val="center"/>
      <w:outlineLvl w:val="3"/>
    </w:pPr>
    <w:rPr>
      <w:sz w:val="24"/>
    </w:rPr>
  </w:style>
  <w:style w:type="paragraph" w:styleId="Nadpis5">
    <w:name w:val="heading 5"/>
    <w:basedOn w:val="Normln"/>
    <w:next w:val="Normln"/>
    <w:qFormat/>
    <w:pPr>
      <w:keepNext/>
      <w:ind w:left="-851"/>
      <w:jc w:val="both"/>
      <w:outlineLvl w:val="4"/>
    </w:pPr>
    <w:rPr>
      <w:sz w:val="24"/>
    </w:rPr>
  </w:style>
  <w:style w:type="paragraph" w:styleId="Nadpis6">
    <w:name w:val="heading 6"/>
    <w:basedOn w:val="Normln"/>
    <w:next w:val="Normln"/>
    <w:qFormat/>
    <w:pPr>
      <w:keepNext/>
      <w:tabs>
        <w:tab w:val="right" w:pos="4536"/>
        <w:tab w:val="left" w:pos="7230"/>
      </w:tabs>
      <w:jc w:val="right"/>
      <w:outlineLvl w:val="5"/>
    </w:pPr>
    <w:rPr>
      <w:rFonts w:ascii="Arial" w:hAnsi="Arial"/>
      <w:sz w:val="28"/>
    </w:rPr>
  </w:style>
  <w:style w:type="paragraph" w:styleId="Nadpis7">
    <w:name w:val="heading 7"/>
    <w:basedOn w:val="Normln"/>
    <w:next w:val="Normln"/>
    <w:qFormat/>
    <w:pPr>
      <w:keepNext/>
      <w:outlineLvl w:val="6"/>
    </w:pPr>
    <w:rPr>
      <w:sz w:val="24"/>
      <w:u w:val="single"/>
    </w:rPr>
  </w:style>
  <w:style w:type="paragraph" w:styleId="Nadpis8">
    <w:name w:val="heading 8"/>
    <w:basedOn w:val="Normln"/>
    <w:next w:val="Normln"/>
    <w:qFormat/>
    <w:pPr>
      <w:keepNext/>
      <w:ind w:left="360"/>
      <w:outlineLvl w:val="7"/>
    </w:pPr>
    <w:rPr>
      <w:rFonts w:ascii="Arial" w:hAnsi="Arial" w:cs="Arial"/>
      <w:sz w:val="24"/>
    </w:rPr>
  </w:style>
  <w:style w:type="paragraph" w:styleId="Nadpis9">
    <w:name w:val="heading 9"/>
    <w:basedOn w:val="Normln"/>
    <w:next w:val="Normln"/>
    <w:qFormat/>
    <w:pPr>
      <w:keepNext/>
      <w:outlineLvl w:val="8"/>
    </w:pPr>
    <w:rPr>
      <w:rFonts w:ascii="Arial" w:hAnsi="Arial" w:cs="Arial"/>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customStyle="1" w:styleId="H1">
    <w:name w:val="H1"/>
    <w:basedOn w:val="Normln"/>
    <w:next w:val="Normln"/>
    <w:pPr>
      <w:keepNext/>
      <w:spacing w:before="100" w:after="100"/>
      <w:outlineLvl w:val="1"/>
    </w:pPr>
    <w:rPr>
      <w:b/>
      <w:snapToGrid w:val="0"/>
      <w:kern w:val="36"/>
      <w:sz w:val="48"/>
    </w:rPr>
  </w:style>
  <w:style w:type="paragraph" w:styleId="Zkladntext">
    <w:name w:val="Body Text"/>
    <w:basedOn w:val="Normln"/>
    <w:semiHidden/>
    <w:pPr>
      <w:jc w:val="both"/>
    </w:pPr>
    <w:rPr>
      <w:sz w:val="24"/>
    </w:rPr>
  </w:style>
  <w:style w:type="paragraph" w:styleId="Zkladntextodsazen">
    <w:name w:val="Body Text Indent"/>
    <w:basedOn w:val="Normln"/>
    <w:semiHidden/>
    <w:pPr>
      <w:tabs>
        <w:tab w:val="left" w:pos="0"/>
      </w:tabs>
      <w:ind w:left="-709" w:hanging="142"/>
    </w:pPr>
    <w:rPr>
      <w:sz w:val="24"/>
    </w:rPr>
  </w:style>
  <w:style w:type="paragraph" w:styleId="Zkladntextodsazen2">
    <w:name w:val="Body Text Indent 2"/>
    <w:basedOn w:val="Normln"/>
    <w:semiHidden/>
    <w:pPr>
      <w:tabs>
        <w:tab w:val="left" w:pos="-284"/>
      </w:tabs>
      <w:ind w:left="-142"/>
    </w:pPr>
    <w:rPr>
      <w:sz w:val="24"/>
    </w:rPr>
  </w:style>
  <w:style w:type="character" w:styleId="Sledovanodkaz">
    <w:name w:val="FollowedHyperlink"/>
    <w:semiHidden/>
    <w:rPr>
      <w:color w:val="800080"/>
      <w:u w:val="singl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odsazen3">
    <w:name w:val="Body Text Indent 3"/>
    <w:basedOn w:val="Normln"/>
    <w:semiHidden/>
    <w:pPr>
      <w:ind w:firstLine="708"/>
      <w:jc w:val="both"/>
    </w:pPr>
    <w:rPr>
      <w:sz w:val="24"/>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sz w:val="24"/>
      <w:szCs w:val="24"/>
    </w:rPr>
  </w:style>
  <w:style w:type="character" w:styleId="Siln">
    <w:name w:val="Strong"/>
    <w:qFormat/>
    <w:rPr>
      <w:b/>
      <w:bCs/>
    </w:rPr>
  </w:style>
  <w:style w:type="character" w:styleId="Zvraznn">
    <w:name w:val="Emphasis"/>
    <w:qFormat/>
    <w:rPr>
      <w:i/>
      <w:iCs/>
    </w:rPr>
  </w:style>
  <w:style w:type="paragraph" w:styleId="Nzev">
    <w:name w:val="Title"/>
    <w:basedOn w:val="Normln"/>
    <w:qFormat/>
    <w:pPr>
      <w:jc w:val="center"/>
    </w:pPr>
    <w:rPr>
      <w:rFonts w:ascii="Arial" w:hAnsi="Arial" w:cs="Arial"/>
      <w:b/>
      <w:bCs/>
      <w:kern w:val="16"/>
      <w:sz w:val="24"/>
    </w:rPr>
  </w:style>
  <w:style w:type="paragraph" w:styleId="Zkladntext2">
    <w:name w:val="Body Text 2"/>
    <w:basedOn w:val="Normln"/>
    <w:semiHidden/>
    <w:pPr>
      <w:jc w:val="center"/>
    </w:pPr>
    <w:rPr>
      <w:rFonts w:ascii="Arial" w:hAnsi="Arial" w:cs="Arial"/>
      <w:sz w:val="24"/>
    </w:rPr>
  </w:style>
  <w:style w:type="paragraph" w:styleId="Zkladntext3">
    <w:name w:val="Body Text 3"/>
    <w:basedOn w:val="Normln"/>
    <w:semiHidden/>
    <w:rPr>
      <w:rFonts w:ascii="Arial" w:hAnsi="Arial" w:cs="Arial"/>
      <w:sz w:val="24"/>
    </w:rPr>
  </w:style>
  <w:style w:type="paragraph" w:customStyle="1" w:styleId="MSp-text">
    <w:name w:val="MSp-text"/>
    <w:basedOn w:val="Normln"/>
    <w:pPr>
      <w:tabs>
        <w:tab w:val="left" w:pos="720"/>
      </w:tabs>
      <w:spacing w:after="240"/>
      <w:ind w:firstLine="720"/>
      <w:jc w:val="both"/>
    </w:pPr>
    <w:rPr>
      <w:sz w:val="24"/>
      <w:szCs w:val="24"/>
      <w:lang w:eastAsia="en-US"/>
    </w:rPr>
  </w:style>
  <w:style w:type="paragraph" w:styleId="Prosttext">
    <w:name w:val="Plain Text"/>
    <w:basedOn w:val="Normln"/>
    <w:semiHidden/>
    <w:rPr>
      <w:rFonts w:ascii="Courier New" w:hAnsi="Courier New" w:cs="Courier New"/>
    </w:rPr>
  </w:style>
  <w:style w:type="paragraph" w:customStyle="1" w:styleId="Pouen">
    <w:name w:val="Poučení"/>
    <w:basedOn w:val="Normln"/>
    <w:pPr>
      <w:spacing w:before="120"/>
      <w:ind w:left="1418" w:hanging="141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5869">
      <w:bodyDiv w:val="1"/>
      <w:marLeft w:val="0"/>
      <w:marRight w:val="0"/>
      <w:marTop w:val="0"/>
      <w:marBottom w:val="0"/>
      <w:divBdr>
        <w:top w:val="none" w:sz="0" w:space="0" w:color="auto"/>
        <w:left w:val="none" w:sz="0" w:space="0" w:color="auto"/>
        <w:bottom w:val="none" w:sz="0" w:space="0" w:color="auto"/>
        <w:right w:val="none" w:sz="0" w:space="0" w:color="auto"/>
      </w:divBdr>
      <w:divsChild>
        <w:div w:id="104157701">
          <w:marLeft w:val="0"/>
          <w:marRight w:val="0"/>
          <w:marTop w:val="0"/>
          <w:marBottom w:val="192"/>
          <w:divBdr>
            <w:top w:val="none" w:sz="0" w:space="0" w:color="auto"/>
            <w:left w:val="none" w:sz="0" w:space="0" w:color="auto"/>
            <w:bottom w:val="none" w:sz="0" w:space="0" w:color="auto"/>
            <w:right w:val="none" w:sz="0" w:space="0" w:color="auto"/>
          </w:divBdr>
        </w:div>
        <w:div w:id="115024261">
          <w:marLeft w:val="0"/>
          <w:marRight w:val="0"/>
          <w:marTop w:val="0"/>
          <w:marBottom w:val="192"/>
          <w:divBdr>
            <w:top w:val="none" w:sz="0" w:space="0" w:color="auto"/>
            <w:left w:val="none" w:sz="0" w:space="0" w:color="auto"/>
            <w:bottom w:val="none" w:sz="0" w:space="0" w:color="auto"/>
            <w:right w:val="none" w:sz="0" w:space="0" w:color="auto"/>
          </w:divBdr>
        </w:div>
        <w:div w:id="465319974">
          <w:marLeft w:val="0"/>
          <w:marRight w:val="0"/>
          <w:marTop w:val="0"/>
          <w:marBottom w:val="192"/>
          <w:divBdr>
            <w:top w:val="none" w:sz="0" w:space="0" w:color="auto"/>
            <w:left w:val="none" w:sz="0" w:space="0" w:color="auto"/>
            <w:bottom w:val="none" w:sz="0" w:space="0" w:color="auto"/>
            <w:right w:val="none" w:sz="0" w:space="0" w:color="auto"/>
          </w:divBdr>
        </w:div>
        <w:div w:id="598488434">
          <w:marLeft w:val="0"/>
          <w:marRight w:val="0"/>
          <w:marTop w:val="0"/>
          <w:marBottom w:val="192"/>
          <w:divBdr>
            <w:top w:val="none" w:sz="0" w:space="0" w:color="auto"/>
            <w:left w:val="none" w:sz="0" w:space="0" w:color="auto"/>
            <w:bottom w:val="none" w:sz="0" w:space="0" w:color="auto"/>
            <w:right w:val="none" w:sz="0" w:space="0" w:color="auto"/>
          </w:divBdr>
        </w:div>
        <w:div w:id="1606766941">
          <w:marLeft w:val="0"/>
          <w:marRight w:val="0"/>
          <w:marTop w:val="0"/>
          <w:marBottom w:val="192"/>
          <w:divBdr>
            <w:top w:val="none" w:sz="0" w:space="0" w:color="auto"/>
            <w:left w:val="none" w:sz="0" w:space="0" w:color="auto"/>
            <w:bottom w:val="none" w:sz="0" w:space="0" w:color="auto"/>
            <w:right w:val="none" w:sz="0" w:space="0" w:color="auto"/>
          </w:divBdr>
        </w:div>
        <w:div w:id="1861039865">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stice.cz/web/okresni-soud-v-trutnove/zakladni-informace?clanek=parametry-elektronickeho-podani" TargetMode="External"/><Relationship Id="rId18" Type="http://schemas.openxmlformats.org/officeDocument/2006/relationships/hyperlink" Target="https://www.aspi.cz/products/lawText/1/47807/1/2/ASPI%253A/106/1999%20Sb.%252316a.1.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justice.cz/web/okresni-soud-v-trutnove/uredni-deska" TargetMode="External"/><Relationship Id="rId17" Type="http://schemas.openxmlformats.org/officeDocument/2006/relationships/hyperlink" Target="https://www.justice.cz/web/okresni-soud-v-trutnove/zakladni-informace?clanek=informace-dle-zakona-c-106-1999-s-1" TargetMode="External"/><Relationship Id="rId2" Type="http://schemas.openxmlformats.org/officeDocument/2006/relationships/numbering" Target="numbering.xml"/><Relationship Id="rId16" Type="http://schemas.openxmlformats.org/officeDocument/2006/relationships/hyperlink" Target="https://www.justice.cz/web/okresni-soud-v-trutnove/zakladni-informace?clanek=informace-dle-zakona-c-106-1999-s-1" TargetMode="External"/><Relationship Id="rId20" Type="http://schemas.openxmlformats.org/officeDocument/2006/relationships/hyperlink" Target="mailto:podatelna@osoud.tru.justice.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stice.cz/web/okresni-soud-v-trutnove/zakladni-informace?clanek=parametry-elektronickeho-podan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ustice.cz/web/okresni-soud-v-trutnove/zakladni-informace?clanek=informace-dle-zakona-c-106-1999-s-1" TargetMode="External"/><Relationship Id="rId23" Type="http://schemas.openxmlformats.org/officeDocument/2006/relationships/fontTable" Target="fontTable.xml"/><Relationship Id="rId10" Type="http://schemas.openxmlformats.org/officeDocument/2006/relationships/hyperlink" Target="https://www.justice.cz/web/okresni-soud-v-trutnove/zakladni-informace?clanek=informacni-centrum" TargetMode="External"/><Relationship Id="rId19" Type="http://schemas.openxmlformats.org/officeDocument/2006/relationships/hyperlink" Target="https://www.justice.cz/web/okresni-soud-v-trutnove/zakladni-informace?clanek=informace-dle-zakona-c-106-1999-s-1" TargetMode="External"/><Relationship Id="rId4" Type="http://schemas.microsoft.com/office/2007/relationships/stylesWithEffects" Target="stylesWithEffects.xml"/><Relationship Id="rId9" Type="http://schemas.openxmlformats.org/officeDocument/2006/relationships/hyperlink" Target="https://www.justice.cz/web/okresni-soud-v-trutnove" TargetMode="External"/><Relationship Id="rId14" Type="http://schemas.openxmlformats.org/officeDocument/2006/relationships/hyperlink" Target="https://www.justice.cz/web/okresni-soud-v-trutnove/zakladni-informace?clanek=informace-dle-zakona-c-106-1999-s-1"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0CF8-FCAF-4DB1-A509-87EDB4ED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Pages>
  <Words>1734</Words>
  <Characters>10233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UNIVERSITAS CAROLINA PRAGENSIS</vt:lpstr>
    </vt:vector>
  </TitlesOfParts>
  <Company>Okresní soud v Trutnově</Company>
  <LinksUpToDate>false</LinksUpToDate>
  <CharactersWithSpaces>11944</CharactersWithSpaces>
  <SharedDoc>false</SharedDoc>
  <HLinks>
    <vt:vector size="72" baseType="variant">
      <vt:variant>
        <vt:i4>1835063</vt:i4>
      </vt:variant>
      <vt:variant>
        <vt:i4>33</vt:i4>
      </vt:variant>
      <vt:variant>
        <vt:i4>0</vt:i4>
      </vt:variant>
      <vt:variant>
        <vt:i4>5</vt:i4>
      </vt:variant>
      <vt:variant>
        <vt:lpwstr>mailto:podatelna@osoud.tru.justice.cz</vt:lpwstr>
      </vt:variant>
      <vt:variant>
        <vt:lpwstr/>
      </vt:variant>
      <vt:variant>
        <vt:i4>5505046</vt:i4>
      </vt:variant>
      <vt:variant>
        <vt:i4>30</vt:i4>
      </vt:variant>
      <vt:variant>
        <vt:i4>0</vt:i4>
      </vt:variant>
      <vt:variant>
        <vt:i4>5</vt:i4>
      </vt:variant>
      <vt:variant>
        <vt:lpwstr>https://www.justice.cz/web/okresni-soud-v-trutnove/zakladni-informace?clanek=informace-dle-zakona-c-106-1999-s-1</vt:lpwstr>
      </vt:variant>
      <vt:variant>
        <vt:lpwstr/>
      </vt:variant>
      <vt:variant>
        <vt:i4>2293862</vt:i4>
      </vt:variant>
      <vt:variant>
        <vt:i4>27</vt:i4>
      </vt:variant>
      <vt:variant>
        <vt:i4>0</vt:i4>
      </vt:variant>
      <vt:variant>
        <vt:i4>5</vt:i4>
      </vt:variant>
      <vt:variant>
        <vt:lpwstr>https://www.aspi.cz/products/lawText/1/47807/1/2/ASPI%253A/106/1999 Sb.%252316a.1.d</vt:lpwstr>
      </vt:variant>
      <vt:variant>
        <vt:lpwstr/>
      </vt:variant>
      <vt:variant>
        <vt:i4>5505046</vt:i4>
      </vt:variant>
      <vt:variant>
        <vt:i4>24</vt:i4>
      </vt:variant>
      <vt:variant>
        <vt:i4>0</vt:i4>
      </vt:variant>
      <vt:variant>
        <vt:i4>5</vt:i4>
      </vt:variant>
      <vt:variant>
        <vt:lpwstr>https://www.justice.cz/web/okresni-soud-v-trutnove/zakladni-informace?clanek=informace-dle-zakona-c-106-1999-s-1</vt:lpwstr>
      </vt:variant>
      <vt:variant>
        <vt:lpwstr/>
      </vt:variant>
      <vt:variant>
        <vt:i4>5505046</vt:i4>
      </vt:variant>
      <vt:variant>
        <vt:i4>21</vt:i4>
      </vt:variant>
      <vt:variant>
        <vt:i4>0</vt:i4>
      </vt:variant>
      <vt:variant>
        <vt:i4>5</vt:i4>
      </vt:variant>
      <vt:variant>
        <vt:lpwstr>https://www.justice.cz/web/okresni-soud-v-trutnove/zakladni-informace?clanek=informace-dle-zakona-c-106-1999-s-1</vt:lpwstr>
      </vt:variant>
      <vt:variant>
        <vt:lpwstr/>
      </vt:variant>
      <vt:variant>
        <vt:i4>5505046</vt:i4>
      </vt:variant>
      <vt:variant>
        <vt:i4>18</vt:i4>
      </vt:variant>
      <vt:variant>
        <vt:i4>0</vt:i4>
      </vt:variant>
      <vt:variant>
        <vt:i4>5</vt:i4>
      </vt:variant>
      <vt:variant>
        <vt:lpwstr>https://www.justice.cz/web/okresni-soud-v-trutnove/zakladni-informace?clanek=informace-dle-zakona-c-106-1999-s-1</vt:lpwstr>
      </vt:variant>
      <vt:variant>
        <vt:lpwstr/>
      </vt:variant>
      <vt:variant>
        <vt:i4>5505046</vt:i4>
      </vt:variant>
      <vt:variant>
        <vt:i4>15</vt:i4>
      </vt:variant>
      <vt:variant>
        <vt:i4>0</vt:i4>
      </vt:variant>
      <vt:variant>
        <vt:i4>5</vt:i4>
      </vt:variant>
      <vt:variant>
        <vt:lpwstr>https://www.justice.cz/web/okresni-soud-v-trutnove/zakladni-informace?clanek=informace-dle-zakona-c-106-1999-s-1</vt:lpwstr>
      </vt:variant>
      <vt:variant>
        <vt:lpwstr/>
      </vt:variant>
      <vt:variant>
        <vt:i4>5570628</vt:i4>
      </vt:variant>
      <vt:variant>
        <vt:i4>12</vt:i4>
      </vt:variant>
      <vt:variant>
        <vt:i4>0</vt:i4>
      </vt:variant>
      <vt:variant>
        <vt:i4>5</vt:i4>
      </vt:variant>
      <vt:variant>
        <vt:lpwstr>https://www.justice.cz/web/okresni-soud-v-trutnove/zakladni-informace?clanek=parametry-elektronickeho-podani</vt:lpwstr>
      </vt:variant>
      <vt:variant>
        <vt:lpwstr/>
      </vt:variant>
      <vt:variant>
        <vt:i4>3866685</vt:i4>
      </vt:variant>
      <vt:variant>
        <vt:i4>9</vt:i4>
      </vt:variant>
      <vt:variant>
        <vt:i4>0</vt:i4>
      </vt:variant>
      <vt:variant>
        <vt:i4>5</vt:i4>
      </vt:variant>
      <vt:variant>
        <vt:lpwstr>https://www.justice.cz/web/okresni-soud-v-trutnove/uredni-deska</vt:lpwstr>
      </vt:variant>
      <vt:variant>
        <vt:lpwstr/>
      </vt:variant>
      <vt:variant>
        <vt:i4>5570628</vt:i4>
      </vt:variant>
      <vt:variant>
        <vt:i4>6</vt:i4>
      </vt:variant>
      <vt:variant>
        <vt:i4>0</vt:i4>
      </vt:variant>
      <vt:variant>
        <vt:i4>5</vt:i4>
      </vt:variant>
      <vt:variant>
        <vt:lpwstr>https://www.justice.cz/web/okresni-soud-v-trutnove/zakladni-informace?clanek=parametry-elektronickeho-podani</vt:lpwstr>
      </vt:variant>
      <vt:variant>
        <vt:lpwstr/>
      </vt:variant>
      <vt:variant>
        <vt:i4>3604591</vt:i4>
      </vt:variant>
      <vt:variant>
        <vt:i4>3</vt:i4>
      </vt:variant>
      <vt:variant>
        <vt:i4>0</vt:i4>
      </vt:variant>
      <vt:variant>
        <vt:i4>5</vt:i4>
      </vt:variant>
      <vt:variant>
        <vt:lpwstr>https://www.justice.cz/web/okresni-soud-v-trutnove/zakladni-informace?clanek=informacni-centrum</vt:lpwstr>
      </vt:variant>
      <vt:variant>
        <vt:lpwstr/>
      </vt:variant>
      <vt:variant>
        <vt:i4>6684794</vt:i4>
      </vt:variant>
      <vt:variant>
        <vt:i4>0</vt:i4>
      </vt:variant>
      <vt:variant>
        <vt:i4>0</vt:i4>
      </vt:variant>
      <vt:variant>
        <vt:i4>5</vt:i4>
      </vt:variant>
      <vt:variant>
        <vt:lpwstr>https://www.justice.cz/web/okresni-soud-v-trutnove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UNIVERSITAS CAROLINA PRAGENSIS</dc:title>
  <dc:subject/>
  <dc:creator>Administrator</dc:creator>
  <cp:keywords/>
  <cp:lastModifiedBy>Hájková Lucie</cp:lastModifiedBy>
  <cp:revision>2</cp:revision>
  <cp:lastPrinted>2009-02-04T13:52:00Z</cp:lastPrinted>
  <dcterms:created xsi:type="dcterms:W3CDTF">2024-02-26T07:57:00Z</dcterms:created>
  <dcterms:modified xsi:type="dcterms:W3CDTF">2024-02-26T07:57:00Z</dcterms:modified>
</cp:coreProperties>
</file>