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F1AA5" w14:textId="77777777" w:rsidR="00CE142B" w:rsidRPr="007531D1" w:rsidRDefault="00CE142B" w:rsidP="00CE142B">
      <w:pPr>
        <w:pStyle w:val="Default"/>
        <w:jc w:val="both"/>
        <w:rPr>
          <w:rFonts w:ascii="Garamond" w:hAnsi="Garamond"/>
          <w:sz w:val="36"/>
          <w:szCs w:val="36"/>
        </w:rPr>
      </w:pPr>
      <w:bookmarkStart w:id="0" w:name="_GoBack"/>
      <w:bookmarkEnd w:id="0"/>
      <w:r w:rsidRPr="007531D1">
        <w:rPr>
          <w:rFonts w:ascii="Garamond" w:hAnsi="Garamond"/>
          <w:b/>
          <w:bCs/>
          <w:sz w:val="36"/>
          <w:szCs w:val="36"/>
        </w:rPr>
        <w:t xml:space="preserve">Žádosti o informace </w:t>
      </w:r>
    </w:p>
    <w:p w14:paraId="497E0B0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0379D248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  <w:r w:rsidRPr="007531D1">
        <w:rPr>
          <w:rFonts w:ascii="Garamond" w:hAnsi="Garamond"/>
          <w:b/>
          <w:bCs/>
        </w:rPr>
        <w:t>Vyřizováním žádostí o poskytnutí informací dle zákona č. 106/1999 Sb., o svobodném přístupu k</w:t>
      </w:r>
      <w:r>
        <w:rPr>
          <w:rFonts w:ascii="Garamond" w:hAnsi="Garamond"/>
          <w:b/>
          <w:bCs/>
        </w:rPr>
        <w:t> </w:t>
      </w:r>
      <w:r w:rsidRPr="007531D1">
        <w:rPr>
          <w:rFonts w:ascii="Garamond" w:hAnsi="Garamond"/>
          <w:b/>
          <w:bCs/>
        </w:rPr>
        <w:t>informacím, ve znění pozdějších předpisů, jsou v souladu s rozvrhem práce Krajského soudu v</w:t>
      </w:r>
      <w:r>
        <w:rPr>
          <w:rFonts w:ascii="Garamond" w:hAnsi="Garamond"/>
          <w:b/>
          <w:bCs/>
        </w:rPr>
        <w:t> </w:t>
      </w:r>
      <w:r w:rsidRPr="007531D1">
        <w:rPr>
          <w:rFonts w:ascii="Garamond" w:hAnsi="Garamond"/>
          <w:b/>
          <w:bCs/>
        </w:rPr>
        <w:t>Ostravě pověřeni podle pokynů předsed</w:t>
      </w:r>
      <w:r>
        <w:rPr>
          <w:rFonts w:ascii="Garamond" w:hAnsi="Garamond"/>
          <w:b/>
          <w:bCs/>
        </w:rPr>
        <w:t>y</w:t>
      </w:r>
      <w:r w:rsidRPr="007531D1">
        <w:rPr>
          <w:rFonts w:ascii="Garamond" w:hAnsi="Garamond"/>
          <w:b/>
          <w:bCs/>
        </w:rPr>
        <w:t xml:space="preserve"> krajsk</w:t>
      </w:r>
      <w:r>
        <w:rPr>
          <w:rFonts w:ascii="Garamond" w:hAnsi="Garamond"/>
          <w:b/>
          <w:bCs/>
        </w:rPr>
        <w:t>ého soudu Lenka Slaninová a asistenti úseku správního soudnictví.</w:t>
      </w:r>
    </w:p>
    <w:p w14:paraId="7384B340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44DD86B3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Ústně, tj. i telefonicky podané žádosti o poskytnutí informace se vyřizují neformálním způsobem v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běžném úředním styku a neevidují se. Není-li žadateli na ústně podanou žádost o informace poskytnuta nebo nepovažuje-li žadatel informaci poskytnutou na ústně podanou žádost za dostačující, je třeba podat žádost písemně. </w:t>
      </w:r>
    </w:p>
    <w:p w14:paraId="018562F6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75323A5A" w14:textId="77777777" w:rsidR="00CE142B" w:rsidRPr="00BB0617" w:rsidRDefault="00CE142B" w:rsidP="00CE142B">
      <w:pPr>
        <w:pStyle w:val="Default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Krajský soud</w:t>
      </w:r>
      <w:r w:rsidRPr="00BB0617">
        <w:rPr>
          <w:rFonts w:ascii="Garamond" w:hAnsi="Garamond"/>
          <w:b/>
        </w:rPr>
        <w:t xml:space="preserve"> posoudí žádost a: </w:t>
      </w:r>
    </w:p>
    <w:p w14:paraId="22F57760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3DF15373" w14:textId="77777777" w:rsidR="00CE142B" w:rsidRPr="007531D1" w:rsidRDefault="00CE142B" w:rsidP="00CE142B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>brání-li nedostatek údajů o žadateli postupu vyřízení žádosti o informaci podle zákona, zejména podle § 14</w:t>
      </w:r>
      <w:r>
        <w:rPr>
          <w:rFonts w:ascii="Garamond" w:hAnsi="Garamond"/>
        </w:rPr>
        <w:t>b</w:t>
      </w:r>
      <w:r w:rsidRPr="007531D1">
        <w:rPr>
          <w:rFonts w:ascii="Garamond" w:hAnsi="Garamond"/>
        </w:rPr>
        <w:t xml:space="preserve"> nebo 15 zákona č. 106/1999 Sb., vyzve žadatele ve lhůtě do </w:t>
      </w:r>
      <w:r w:rsidRPr="006F4ECA">
        <w:rPr>
          <w:rFonts w:ascii="Garamond" w:hAnsi="Garamond"/>
          <w:b/>
        </w:rPr>
        <w:t>7 dnů</w:t>
      </w:r>
      <w:r w:rsidRPr="007531D1">
        <w:rPr>
          <w:rFonts w:ascii="Garamond" w:hAnsi="Garamond"/>
        </w:rPr>
        <w:t xml:space="preserve"> ode dne podání žádosti, aby žádost doplnil; nevyhoví-li žadatel této výzvě do </w:t>
      </w:r>
      <w:r w:rsidRPr="006F4ECA">
        <w:rPr>
          <w:rFonts w:ascii="Garamond" w:hAnsi="Garamond"/>
          <w:b/>
        </w:rPr>
        <w:t>30 dnů</w:t>
      </w:r>
      <w:r w:rsidRPr="007531D1">
        <w:rPr>
          <w:rFonts w:ascii="Garamond" w:hAnsi="Garamond"/>
        </w:rPr>
        <w:t xml:space="preserve"> ode dne jejího doručení, žádost </w:t>
      </w:r>
      <w:proofErr w:type="gramStart"/>
      <w:r w:rsidRPr="007531D1">
        <w:rPr>
          <w:rFonts w:ascii="Garamond" w:hAnsi="Garamond"/>
        </w:rPr>
        <w:t>odloží</w:t>
      </w:r>
      <w:proofErr w:type="gramEnd"/>
      <w:r w:rsidRPr="007531D1">
        <w:rPr>
          <w:rFonts w:ascii="Garamond" w:hAnsi="Garamond"/>
        </w:rPr>
        <w:t xml:space="preserve">, </w:t>
      </w:r>
    </w:p>
    <w:p w14:paraId="6E1B37BE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2536737A" w14:textId="77777777" w:rsidR="00CE142B" w:rsidRPr="007531D1" w:rsidRDefault="00CE142B" w:rsidP="00CE142B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v případě, že je žádost nesrozumitelná, není zřejmé, jaká informace je požadována, nebo je formulována příliš obecně, vyzve žadatele ve lhůtě do </w:t>
      </w:r>
      <w:r w:rsidRPr="006F4ECA">
        <w:rPr>
          <w:rFonts w:ascii="Garamond" w:hAnsi="Garamond"/>
          <w:b/>
        </w:rPr>
        <w:t>7 dnů</w:t>
      </w:r>
      <w:r w:rsidRPr="007531D1">
        <w:rPr>
          <w:rFonts w:ascii="Garamond" w:hAnsi="Garamond"/>
        </w:rPr>
        <w:t xml:space="preserve"> od podání žádosti, aby žádost upřesnil, neupřesní-li žadatel žádost do </w:t>
      </w:r>
      <w:r w:rsidRPr="006F4ECA">
        <w:rPr>
          <w:rFonts w:ascii="Garamond" w:hAnsi="Garamond"/>
          <w:b/>
        </w:rPr>
        <w:t>30 dnů</w:t>
      </w:r>
      <w:r w:rsidRPr="007531D1">
        <w:rPr>
          <w:rFonts w:ascii="Garamond" w:hAnsi="Garamond"/>
        </w:rPr>
        <w:t xml:space="preserve"> ode dne doručení výzvy, rozhodne o odmítnutí žádosti, </w:t>
      </w:r>
    </w:p>
    <w:p w14:paraId="34F8E81D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4BED5D60" w14:textId="77777777" w:rsidR="00CE142B" w:rsidRPr="007531D1" w:rsidRDefault="00CE142B" w:rsidP="00CE142B">
      <w:pPr>
        <w:pStyle w:val="Default"/>
        <w:numPr>
          <w:ilvl w:val="0"/>
          <w:numId w:val="1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v případě, že požadované informace se nevztahují k jeho působnosti, žádost </w:t>
      </w:r>
      <w:proofErr w:type="gramStart"/>
      <w:r w:rsidRPr="007531D1">
        <w:rPr>
          <w:rFonts w:ascii="Garamond" w:hAnsi="Garamond"/>
        </w:rPr>
        <w:t>odloží</w:t>
      </w:r>
      <w:proofErr w:type="gramEnd"/>
      <w:r w:rsidRPr="007531D1">
        <w:rPr>
          <w:rFonts w:ascii="Garamond" w:hAnsi="Garamond"/>
        </w:rPr>
        <w:t xml:space="preserve"> a tuto odůvodněnou skutečnost sdělí do </w:t>
      </w:r>
      <w:r w:rsidRPr="006F4ECA">
        <w:rPr>
          <w:rFonts w:ascii="Garamond" w:hAnsi="Garamond"/>
          <w:b/>
        </w:rPr>
        <w:t>7 dnů</w:t>
      </w:r>
      <w:r w:rsidRPr="007531D1">
        <w:rPr>
          <w:rFonts w:ascii="Garamond" w:hAnsi="Garamond"/>
        </w:rPr>
        <w:t xml:space="preserve"> ode</w:t>
      </w:r>
      <w:r>
        <w:rPr>
          <w:rFonts w:ascii="Garamond" w:hAnsi="Garamond"/>
        </w:rPr>
        <w:t xml:space="preserve"> dne doručení žádosti žadateli. </w:t>
      </w:r>
    </w:p>
    <w:p w14:paraId="6C241898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3FD06E90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Žádost o poskytnutí informace p</w:t>
      </w:r>
      <w:r>
        <w:rPr>
          <w:rFonts w:ascii="Garamond" w:hAnsi="Garamond"/>
        </w:rPr>
        <w:t xml:space="preserve">odaná písemně se vyřídí do </w:t>
      </w:r>
      <w:r w:rsidRPr="006F4ECA">
        <w:rPr>
          <w:rFonts w:ascii="Garamond" w:hAnsi="Garamond"/>
          <w:b/>
        </w:rPr>
        <w:t>15 dnů</w:t>
      </w:r>
      <w:r w:rsidRPr="007531D1">
        <w:rPr>
          <w:rFonts w:ascii="Garamond" w:hAnsi="Garamond"/>
        </w:rPr>
        <w:t xml:space="preserve"> od jejího přijetí (nebo od upřesnění žádosti). Ze závažných důvodů lze lhůtu pro poskytnutí informace prodloužit, nejvýše však o </w:t>
      </w:r>
      <w:r w:rsidRPr="006F4ECA">
        <w:rPr>
          <w:rFonts w:ascii="Garamond" w:hAnsi="Garamond"/>
          <w:b/>
        </w:rPr>
        <w:t>10 dnů</w:t>
      </w:r>
      <w:r w:rsidRPr="007531D1">
        <w:rPr>
          <w:rFonts w:ascii="Garamond" w:hAnsi="Garamond"/>
        </w:rPr>
        <w:t xml:space="preserve">. </w:t>
      </w:r>
    </w:p>
    <w:p w14:paraId="3A2E6128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0520304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Pokud žádost směřuje k poskytnutí zveřejněné informace, může soud nejpozději do </w:t>
      </w:r>
      <w:r w:rsidRPr="006F4ECA">
        <w:rPr>
          <w:rFonts w:ascii="Garamond" w:hAnsi="Garamond"/>
          <w:b/>
        </w:rPr>
        <w:t xml:space="preserve">7 dnů </w:t>
      </w:r>
      <w:r w:rsidRPr="007531D1">
        <w:rPr>
          <w:rFonts w:ascii="Garamond" w:hAnsi="Garamond"/>
        </w:rPr>
        <w:t xml:space="preserve">místo poskytnutí informace sdělit žadateli údaje umožňující vyhledání a získání zveřejněné informace. </w:t>
      </w:r>
    </w:p>
    <w:p w14:paraId="054A6EDF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138C2041" w14:textId="77777777" w:rsidR="00CE142B" w:rsidRPr="007531D1" w:rsidRDefault="00CE142B" w:rsidP="00CE142B">
      <w:pPr>
        <w:pStyle w:val="Default"/>
        <w:jc w:val="both"/>
        <w:rPr>
          <w:rFonts w:ascii="Garamond" w:hAnsi="Garamond"/>
          <w:sz w:val="28"/>
          <w:szCs w:val="28"/>
        </w:rPr>
      </w:pPr>
      <w:r w:rsidRPr="007531D1">
        <w:rPr>
          <w:rFonts w:ascii="Garamond" w:hAnsi="Garamond"/>
          <w:b/>
          <w:bCs/>
          <w:sz w:val="28"/>
          <w:szCs w:val="28"/>
        </w:rPr>
        <w:t xml:space="preserve">Omezení práva na informace </w:t>
      </w:r>
    </w:p>
    <w:p w14:paraId="01BE1CC8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7562DCD9" w14:textId="77777777" w:rsidR="00CE142B" w:rsidRPr="007531D1" w:rsidRDefault="00CE142B" w:rsidP="00CE142B">
      <w:pPr>
        <w:pStyle w:val="Default"/>
        <w:jc w:val="both"/>
        <w:rPr>
          <w:rFonts w:ascii="Garamond" w:hAnsi="Garamond"/>
          <w:b/>
        </w:rPr>
      </w:pPr>
      <w:r w:rsidRPr="007531D1">
        <w:rPr>
          <w:rFonts w:ascii="Garamond" w:hAnsi="Garamond"/>
          <w:b/>
        </w:rPr>
        <w:t xml:space="preserve">Krajský soud může omezit poskytnutí informace, pokud: </w:t>
      </w:r>
    </w:p>
    <w:p w14:paraId="6CBF79E0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08B37FB0" w14:textId="77777777" w:rsidR="00CE142B" w:rsidRPr="007531D1" w:rsidRDefault="00CE142B" w:rsidP="00CE142B">
      <w:pPr>
        <w:pStyle w:val="Default"/>
        <w:numPr>
          <w:ilvl w:val="0"/>
          <w:numId w:val="4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se vztahuje výlučně k vnitřním pokynům a personálním předpisům </w:t>
      </w:r>
      <w:r>
        <w:rPr>
          <w:rFonts w:ascii="Garamond" w:hAnsi="Garamond"/>
        </w:rPr>
        <w:t>soudu</w:t>
      </w:r>
      <w:r w:rsidRPr="007531D1">
        <w:rPr>
          <w:rFonts w:ascii="Garamond" w:hAnsi="Garamond"/>
        </w:rPr>
        <w:t>,</w:t>
      </w:r>
    </w:p>
    <w:p w14:paraId="69363968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60454D01" w14:textId="77777777" w:rsidR="00CE142B" w:rsidRPr="007531D1" w:rsidRDefault="00CE142B" w:rsidP="00CE142B">
      <w:pPr>
        <w:pStyle w:val="Default"/>
        <w:numPr>
          <w:ilvl w:val="0"/>
          <w:numId w:val="4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jde o novou informaci, která vznikla při přípravě rozhodnutí </w:t>
      </w:r>
      <w:r>
        <w:rPr>
          <w:rFonts w:ascii="Garamond" w:hAnsi="Garamond"/>
        </w:rPr>
        <w:t>soudu</w:t>
      </w:r>
      <w:r w:rsidRPr="007531D1">
        <w:rPr>
          <w:rFonts w:ascii="Garamond" w:hAnsi="Garamond"/>
        </w:rPr>
        <w:t xml:space="preserve">, pokud zákon nestanoví jinak; to platí jen do doby, kdy se příprava </w:t>
      </w:r>
      <w:proofErr w:type="gramStart"/>
      <w:r w:rsidRPr="007531D1">
        <w:rPr>
          <w:rFonts w:ascii="Garamond" w:hAnsi="Garamond"/>
        </w:rPr>
        <w:t>ukončí</w:t>
      </w:r>
      <w:proofErr w:type="gramEnd"/>
      <w:r w:rsidRPr="007531D1">
        <w:rPr>
          <w:rFonts w:ascii="Garamond" w:hAnsi="Garamond"/>
        </w:rPr>
        <w:t xml:space="preserve"> rozhodnutím, nebo </w:t>
      </w:r>
    </w:p>
    <w:p w14:paraId="5DA813BA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1409A3C9" w14:textId="77777777" w:rsidR="00CE142B" w:rsidRPr="007531D1" w:rsidRDefault="00CE142B" w:rsidP="00CE142B">
      <w:pPr>
        <w:pStyle w:val="Default"/>
        <w:numPr>
          <w:ilvl w:val="0"/>
          <w:numId w:val="4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>jde o informaci poskytnutou Organizací Severoatlantické smlouvy nebo Evropskou unií, která je v zájmu bezpečnosti státu, veřejné bezpečnosti nebo ochrany práv třetích osob chráněna uvedenými původci ozna</w:t>
      </w:r>
      <w:r>
        <w:rPr>
          <w:rFonts w:ascii="Garamond" w:hAnsi="Garamond"/>
        </w:rPr>
        <w:t xml:space="preserve">čením „NATO UNCLASSIFIED“ nebo </w:t>
      </w:r>
      <w:r w:rsidRPr="007531D1">
        <w:rPr>
          <w:rFonts w:ascii="Garamond" w:hAnsi="Garamond"/>
        </w:rPr>
        <w:t>„LIMITE“ a v České republice je toto označení respektováno z důvodů plnění povinností vyplývajících pro Českou republiku z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jejího členství v Organizaci Severoatlantické smlouvy nebo Evropské unii, pokud původce nedal k poskytnutí souhlas</w:t>
      </w:r>
      <w:r>
        <w:rPr>
          <w:rFonts w:ascii="Garamond" w:hAnsi="Garamond"/>
        </w:rPr>
        <w:t>.</w:t>
      </w:r>
      <w:r w:rsidRPr="007531D1">
        <w:rPr>
          <w:rFonts w:ascii="Garamond" w:hAnsi="Garamond"/>
        </w:rPr>
        <w:t xml:space="preserve"> </w:t>
      </w:r>
    </w:p>
    <w:p w14:paraId="50DD07FF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4A88A165" w14:textId="77777777" w:rsidR="00CE142B" w:rsidRDefault="00CE142B" w:rsidP="00CE142B">
      <w:pPr>
        <w:pStyle w:val="Default"/>
        <w:jc w:val="both"/>
        <w:rPr>
          <w:rFonts w:ascii="Garamond" w:hAnsi="Garamond"/>
          <w:b/>
        </w:rPr>
      </w:pPr>
    </w:p>
    <w:p w14:paraId="76A47EC6" w14:textId="77777777" w:rsidR="00CE142B" w:rsidRDefault="00CE142B" w:rsidP="00CE142B">
      <w:pPr>
        <w:pStyle w:val="Default"/>
        <w:jc w:val="both"/>
        <w:rPr>
          <w:rFonts w:ascii="Garamond" w:hAnsi="Garamond"/>
          <w:b/>
        </w:rPr>
      </w:pPr>
    </w:p>
    <w:p w14:paraId="1FA05F07" w14:textId="77777777" w:rsidR="00CE142B" w:rsidRDefault="00CE142B" w:rsidP="00CE142B">
      <w:pPr>
        <w:pStyle w:val="Default"/>
        <w:jc w:val="both"/>
        <w:rPr>
          <w:rFonts w:ascii="Garamond" w:hAnsi="Garamond"/>
          <w:b/>
        </w:rPr>
      </w:pPr>
    </w:p>
    <w:p w14:paraId="666A5500" w14:textId="77777777" w:rsidR="00CE142B" w:rsidRPr="007531D1" w:rsidRDefault="00CE142B" w:rsidP="00CE142B">
      <w:pPr>
        <w:pStyle w:val="Default"/>
        <w:jc w:val="both"/>
        <w:rPr>
          <w:rFonts w:ascii="Garamond" w:hAnsi="Garamond"/>
          <w:b/>
        </w:rPr>
      </w:pPr>
      <w:r w:rsidRPr="007531D1">
        <w:rPr>
          <w:rFonts w:ascii="Garamond" w:hAnsi="Garamond"/>
          <w:b/>
        </w:rPr>
        <w:lastRenderedPageBreak/>
        <w:t xml:space="preserve">Povinný subjekt informaci neposkytne, pokud: </w:t>
      </w:r>
    </w:p>
    <w:p w14:paraId="184BC974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E7C228F" w14:textId="77777777" w:rsidR="00CE142B" w:rsidRPr="007531D1" w:rsidRDefault="00CE142B" w:rsidP="00CE142B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jde o informaci vzniklou bez použití veřejných prostředků, která byla předána osobou, jíž takovouto povinnost zákon neukládá, pokud nesdělila, že s poskytnutím informace souhlasí, </w:t>
      </w:r>
    </w:p>
    <w:p w14:paraId="6B46A35C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0FF5F158" w14:textId="77777777" w:rsidR="00CE142B" w:rsidRPr="007531D1" w:rsidRDefault="00CE142B" w:rsidP="00CE142B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ji zveřejňuje na základě zvláštního zákona a v předem stanovených pravidelných obdobích až do nejbližšího následujícího období, </w:t>
      </w:r>
    </w:p>
    <w:p w14:paraId="69386641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33B7A8AD" w14:textId="77777777" w:rsidR="00CE142B" w:rsidRPr="007531D1" w:rsidRDefault="00CE142B" w:rsidP="00CE142B">
      <w:pPr>
        <w:pStyle w:val="Default"/>
        <w:numPr>
          <w:ilvl w:val="0"/>
          <w:numId w:val="2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>by tím byla porušena ochrana práv třetích osob k předmětu práva autorského</w:t>
      </w:r>
      <w:r>
        <w:rPr>
          <w:rFonts w:ascii="Garamond" w:hAnsi="Garamond"/>
        </w:rPr>
        <w:t>.</w:t>
      </w:r>
      <w:r w:rsidRPr="007531D1">
        <w:rPr>
          <w:rFonts w:ascii="Garamond" w:hAnsi="Garamond"/>
        </w:rPr>
        <w:t xml:space="preserve"> </w:t>
      </w:r>
    </w:p>
    <w:p w14:paraId="27CEBF41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418BE240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Informace, které získal </w:t>
      </w:r>
      <w:r>
        <w:rPr>
          <w:rFonts w:ascii="Garamond" w:hAnsi="Garamond"/>
        </w:rPr>
        <w:t>krajský soud</w:t>
      </w:r>
      <w:r w:rsidRPr="007531D1">
        <w:rPr>
          <w:rFonts w:ascii="Garamond" w:hAnsi="Garamond"/>
        </w:rPr>
        <w:t xml:space="preserve"> od třetí osoby při plnění úkolů v rámci kontrolní, dozorové, dohledové nebo obdobné činnosti prováděné na základě zvláštního právního předpisu, podle kterého se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na ně vztahuje povinnost mlčenlivosti anebo jiný postup chránící je před zveřejněním nebo zneužitím, se neposkytují. </w:t>
      </w:r>
      <w:r>
        <w:rPr>
          <w:rFonts w:ascii="Garamond" w:hAnsi="Garamond"/>
        </w:rPr>
        <w:t>Soud</w:t>
      </w:r>
      <w:r w:rsidRPr="007531D1">
        <w:rPr>
          <w:rFonts w:ascii="Garamond" w:hAnsi="Garamond"/>
        </w:rPr>
        <w:t xml:space="preserve"> poskytne pouze ty informace, které při plnění těchto úkolů vznikly jeho činností.</w:t>
      </w:r>
      <w:r>
        <w:rPr>
          <w:rFonts w:ascii="Garamond" w:hAnsi="Garamond"/>
        </w:rPr>
        <w:t xml:space="preserve"> </w:t>
      </w:r>
    </w:p>
    <w:p w14:paraId="2E738F96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2583B45" w14:textId="77777777" w:rsidR="00CE142B" w:rsidRPr="00BB0617" w:rsidRDefault="00CE142B" w:rsidP="00CE142B">
      <w:pPr>
        <w:pStyle w:val="Default"/>
        <w:jc w:val="both"/>
        <w:rPr>
          <w:rFonts w:ascii="Garamond" w:hAnsi="Garamond"/>
          <w:b/>
        </w:rPr>
      </w:pPr>
      <w:r w:rsidRPr="00BB0617">
        <w:rPr>
          <w:rFonts w:ascii="Garamond" w:hAnsi="Garamond"/>
          <w:b/>
        </w:rPr>
        <w:t xml:space="preserve">Krajský soud dále neposkytne informace o </w:t>
      </w:r>
    </w:p>
    <w:p w14:paraId="2DE68E60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00F0B738" w14:textId="77777777" w:rsidR="00CE142B" w:rsidRPr="007531D1" w:rsidRDefault="00CE142B" w:rsidP="00CE142B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probíhajícím trestním řízení, </w:t>
      </w:r>
    </w:p>
    <w:p w14:paraId="2DB1979E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11124BB0" w14:textId="77777777" w:rsidR="00CE142B" w:rsidRPr="007531D1" w:rsidRDefault="00CE142B" w:rsidP="00CE142B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rozhodovací činnosti soudů, s výjimkou rozsudků, </w:t>
      </w:r>
    </w:p>
    <w:p w14:paraId="05EE6244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253C72D4" w14:textId="77777777" w:rsidR="00CE142B" w:rsidRPr="007531D1" w:rsidRDefault="00CE142B" w:rsidP="00CE142B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plnění úkolů zpravodajských služeb, </w:t>
      </w:r>
    </w:p>
    <w:p w14:paraId="1B0DFFFA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0321EA8F" w14:textId="77777777" w:rsidR="00CE142B" w:rsidRPr="007531D1" w:rsidRDefault="00CE142B" w:rsidP="00CE142B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přípravě, průběhu a projednávání výsledků kontrol v orgánech Nejvyššího kontrolního úřadu, </w:t>
      </w:r>
    </w:p>
    <w:p w14:paraId="47302BC8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1E0C5FDB" w14:textId="77777777" w:rsidR="00CE142B" w:rsidRDefault="00CE142B" w:rsidP="00CE142B">
      <w:pPr>
        <w:pStyle w:val="Default"/>
        <w:numPr>
          <w:ilvl w:val="0"/>
          <w:numId w:val="3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>činnosti Ministerstva financí podle zákona o některých opatřeních proti legalizaci výnosů z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trestné činnosti a financování terorismu nebo podle zákona o provádění mezinárodních sankcí.</w:t>
      </w:r>
    </w:p>
    <w:p w14:paraId="5BC60C3B" w14:textId="77777777" w:rsidR="00CE142B" w:rsidRDefault="00CE142B" w:rsidP="00CE142B">
      <w:pPr>
        <w:pStyle w:val="Odstavecseseznamem"/>
      </w:pPr>
    </w:p>
    <w:p w14:paraId="57D00BB3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635DAAD1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BB0617">
        <w:rPr>
          <w:rFonts w:ascii="Garamond" w:hAnsi="Garamond"/>
        </w:rPr>
        <w:t xml:space="preserve">Povinný subjekt neposkytne informaci o činnosti orgánů činných v trestním řízení, </w:t>
      </w:r>
      <w:r w:rsidRPr="007531D1">
        <w:rPr>
          <w:rFonts w:ascii="Garamond" w:hAnsi="Garamond"/>
        </w:rPr>
        <w:t>včetně informací ze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spisů, a to i spisů, v nichž nebylo zahájeno trestní řízení, dokumentů, materiálů a zpráv o postupu při prověřování oznámení, které vznikly činností těchto orgánů při ochraně bezpečnosti osob, majetku a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veřejného pořádku, předcházení trestné činnosti a při plnění úkolů podle trestního řádu, pokud by se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tím ohrozila práva třetích osob anebo schopnost orgánů činných v trestním řízení předcházet trestné činnosti, vyhledávat nebo odhalovat trestnou činnost nebo stíhat trestné činy nebo zajišťovat bezpečnost České republiky. Informace týkající se osobnosti, projevů osobní povahy, soukromí fyzické osoby a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osobní údaje povinný subjekt poskytne jen</w:t>
      </w:r>
      <w:r>
        <w:rPr>
          <w:rFonts w:ascii="Garamond" w:hAnsi="Garamond"/>
        </w:rPr>
        <w:t xml:space="preserve"> v souladu s právními předpisy </w:t>
      </w:r>
      <w:r w:rsidRPr="007531D1">
        <w:rPr>
          <w:rFonts w:ascii="Garamond" w:hAnsi="Garamond"/>
        </w:rPr>
        <w:t xml:space="preserve">upravujícími jejich ochranu. </w:t>
      </w:r>
    </w:p>
    <w:p w14:paraId="1B6EF722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0B0B99B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  <w:r w:rsidRPr="007531D1">
        <w:rPr>
          <w:rFonts w:ascii="Garamond" w:hAnsi="Garamond"/>
          <w:b/>
          <w:bCs/>
        </w:rPr>
        <w:t>Povinnost poskytovat informace se netýká dotazů na názory, budoucí rozhodnutí a vytváření nových informací.</w:t>
      </w:r>
    </w:p>
    <w:p w14:paraId="5714A419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4DE829C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5E9770D6" w14:textId="77777777" w:rsidR="00CE142B" w:rsidRPr="00464D22" w:rsidRDefault="00CE142B" w:rsidP="00CE142B">
      <w:pPr>
        <w:pStyle w:val="Default"/>
        <w:jc w:val="both"/>
        <w:rPr>
          <w:rFonts w:ascii="Garamond" w:hAnsi="Garamond"/>
          <w:b/>
          <w:bCs/>
          <w:color w:val="FF0000"/>
        </w:rPr>
      </w:pPr>
      <w:r w:rsidRPr="00464D22">
        <w:rPr>
          <w:rFonts w:ascii="Garamond" w:hAnsi="Garamond"/>
          <w:b/>
          <w:bCs/>
          <w:color w:val="FF0000"/>
        </w:rPr>
        <w:t xml:space="preserve">Krajský soud dále může odmítnout žádost o informace, pokud se jedná o šikanózní nebo obstrukční žádost. </w:t>
      </w:r>
    </w:p>
    <w:p w14:paraId="72D0AEC3" w14:textId="77777777" w:rsidR="00CE142B" w:rsidRPr="00464D22" w:rsidRDefault="00CE142B" w:rsidP="00CE142B">
      <w:pPr>
        <w:pStyle w:val="Default"/>
        <w:jc w:val="both"/>
        <w:rPr>
          <w:rFonts w:ascii="Garamond" w:hAnsi="Garamond"/>
          <w:b/>
          <w:bCs/>
          <w:color w:val="FF0000"/>
        </w:rPr>
      </w:pPr>
    </w:p>
    <w:p w14:paraId="4ACD53B1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42109A0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11F1A12A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7DC07895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5BDEF26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</w:p>
    <w:p w14:paraId="13062014" w14:textId="77777777" w:rsidR="00CE142B" w:rsidRPr="00266450" w:rsidRDefault="00CE142B" w:rsidP="00CE142B">
      <w:pPr>
        <w:pStyle w:val="Default"/>
        <w:jc w:val="both"/>
        <w:rPr>
          <w:rFonts w:ascii="Garamond" w:hAnsi="Garamond"/>
          <w:sz w:val="28"/>
          <w:szCs w:val="28"/>
        </w:rPr>
      </w:pPr>
      <w:r w:rsidRPr="00266450">
        <w:rPr>
          <w:rFonts w:ascii="Garamond" w:hAnsi="Garamond"/>
          <w:b/>
          <w:bCs/>
          <w:sz w:val="28"/>
          <w:szCs w:val="28"/>
        </w:rPr>
        <w:lastRenderedPageBreak/>
        <w:t xml:space="preserve">Příjem žádostí </w:t>
      </w:r>
    </w:p>
    <w:p w14:paraId="6D095DC1" w14:textId="77777777" w:rsidR="00CE142B" w:rsidRDefault="00CE142B" w:rsidP="00CE142B">
      <w:pPr>
        <w:pStyle w:val="Default"/>
        <w:jc w:val="both"/>
        <w:rPr>
          <w:rFonts w:ascii="Garamond" w:hAnsi="Garamond"/>
          <w:u w:val="single"/>
        </w:rPr>
      </w:pPr>
    </w:p>
    <w:p w14:paraId="1B5EA1B0" w14:textId="77777777" w:rsidR="00CE142B" w:rsidRPr="00266450" w:rsidRDefault="00CE142B" w:rsidP="00CE142B">
      <w:pPr>
        <w:pStyle w:val="Default"/>
        <w:jc w:val="both"/>
        <w:rPr>
          <w:rFonts w:ascii="Garamond" w:hAnsi="Garamond"/>
          <w:u w:val="single"/>
        </w:rPr>
      </w:pPr>
      <w:r w:rsidRPr="00266450">
        <w:rPr>
          <w:rFonts w:ascii="Garamond" w:hAnsi="Garamond"/>
          <w:u w:val="single"/>
        </w:rPr>
        <w:t xml:space="preserve">Osobní podání </w:t>
      </w:r>
    </w:p>
    <w:p w14:paraId="186D980F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3F6F36FD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Žádost o poskytnutí informace dle zákona č. 106/1999 Sb., o svobodném přístupu k informacím, ve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znění pozdějších předpisů, můžete podat písemně na </w:t>
      </w:r>
      <w:r w:rsidRPr="00D50729">
        <w:rPr>
          <w:rFonts w:ascii="Garamond" w:hAnsi="Garamond"/>
        </w:rPr>
        <w:t xml:space="preserve">podatelně Krajského soudu v Ostravě, budova A, přízemí, č. </w:t>
      </w:r>
      <w:proofErr w:type="spellStart"/>
      <w:r w:rsidRPr="00D50729">
        <w:rPr>
          <w:rFonts w:ascii="Garamond" w:hAnsi="Garamond"/>
        </w:rPr>
        <w:t>dv</w:t>
      </w:r>
      <w:proofErr w:type="spellEnd"/>
      <w:r w:rsidRPr="00D50729">
        <w:rPr>
          <w:rFonts w:ascii="Garamond" w:hAnsi="Garamond"/>
        </w:rPr>
        <w:t>. 4, v době pro styk s veřejností.</w:t>
      </w:r>
      <w:r w:rsidRPr="007531D1">
        <w:rPr>
          <w:rFonts w:ascii="Garamond" w:hAnsi="Garamond"/>
        </w:rPr>
        <w:t xml:space="preserve"> </w:t>
      </w:r>
    </w:p>
    <w:p w14:paraId="289D62F3" w14:textId="77777777" w:rsidR="00CE142B" w:rsidRDefault="00CE142B" w:rsidP="00CE142B">
      <w:pPr>
        <w:pStyle w:val="Default"/>
        <w:jc w:val="both"/>
        <w:rPr>
          <w:rFonts w:ascii="Garamond" w:hAnsi="Garamond"/>
          <w:u w:val="single"/>
        </w:rPr>
      </w:pPr>
    </w:p>
    <w:p w14:paraId="38E9D25A" w14:textId="77777777" w:rsidR="00CE142B" w:rsidRPr="00266450" w:rsidRDefault="00CE142B" w:rsidP="00CE142B">
      <w:pPr>
        <w:pStyle w:val="Default"/>
        <w:jc w:val="both"/>
        <w:rPr>
          <w:rFonts w:ascii="Garamond" w:hAnsi="Garamond"/>
          <w:u w:val="single"/>
        </w:rPr>
      </w:pPr>
      <w:r w:rsidRPr="00266450">
        <w:rPr>
          <w:rFonts w:ascii="Garamond" w:hAnsi="Garamond"/>
          <w:u w:val="single"/>
        </w:rPr>
        <w:t xml:space="preserve">Podání poštou </w:t>
      </w:r>
    </w:p>
    <w:p w14:paraId="7D37AADF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5BA32798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Žádosti o poskytnutí informace dle zákona č. 106/1999 Sb., o svobodném přístupu k informacím, ve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znění pozdějších předpisů, můžete zaslat poštou na adresu: </w:t>
      </w:r>
    </w:p>
    <w:p w14:paraId="1D32D25B" w14:textId="77777777" w:rsidR="00CE142B" w:rsidRPr="00AC2F0B" w:rsidRDefault="00CE142B" w:rsidP="00CE142B">
      <w:pPr>
        <w:pStyle w:val="Default"/>
        <w:jc w:val="both"/>
        <w:rPr>
          <w:rFonts w:ascii="Garamond" w:hAnsi="Garamond"/>
          <w:b/>
        </w:rPr>
      </w:pPr>
      <w:r w:rsidRPr="00AC2F0B">
        <w:rPr>
          <w:rFonts w:ascii="Garamond" w:hAnsi="Garamond"/>
          <w:b/>
        </w:rPr>
        <w:t xml:space="preserve">Krajský soud v Ostravě, Havlíčkovo nábřeží 34, Ostrava, PSČ 728 81 </w:t>
      </w:r>
    </w:p>
    <w:p w14:paraId="41BCA242" w14:textId="77777777" w:rsidR="00CE142B" w:rsidRDefault="00CE142B" w:rsidP="00CE142B">
      <w:pPr>
        <w:pStyle w:val="Default"/>
        <w:jc w:val="both"/>
        <w:rPr>
          <w:rFonts w:ascii="Garamond" w:hAnsi="Garamond"/>
          <w:u w:val="single"/>
        </w:rPr>
      </w:pPr>
    </w:p>
    <w:p w14:paraId="7CA99677" w14:textId="77777777" w:rsidR="00CE142B" w:rsidRPr="00266450" w:rsidRDefault="00CE142B" w:rsidP="00CE142B">
      <w:pPr>
        <w:pStyle w:val="Default"/>
        <w:jc w:val="both"/>
        <w:rPr>
          <w:rFonts w:ascii="Garamond" w:hAnsi="Garamond"/>
          <w:u w:val="single"/>
        </w:rPr>
      </w:pPr>
      <w:r w:rsidRPr="00266450">
        <w:rPr>
          <w:rFonts w:ascii="Garamond" w:hAnsi="Garamond"/>
          <w:u w:val="single"/>
        </w:rPr>
        <w:t xml:space="preserve">Elektronická podání </w:t>
      </w:r>
    </w:p>
    <w:p w14:paraId="10FE40EE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050D9AF2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Vaše žádosti o poskytnutí informací dle zákona č. 106/1999 Sb., o svobodném přístupu k informacím, ve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znění pozdějších předpisů, můžete podat také elektronicky</w:t>
      </w:r>
      <w:r w:rsidRPr="00035BF5">
        <w:rPr>
          <w:rFonts w:ascii="Garamond" w:hAnsi="Garamond"/>
          <w:bCs/>
        </w:rPr>
        <w:t>,</w:t>
      </w:r>
      <w:r w:rsidRPr="007531D1">
        <w:rPr>
          <w:rFonts w:ascii="Garamond" w:hAnsi="Garamond"/>
          <w:b/>
          <w:bCs/>
        </w:rPr>
        <w:t xml:space="preserve"> </w:t>
      </w:r>
      <w:r w:rsidRPr="007531D1">
        <w:rPr>
          <w:rFonts w:ascii="Garamond" w:hAnsi="Garamond"/>
        </w:rPr>
        <w:t xml:space="preserve">a to na </w:t>
      </w:r>
      <w:r>
        <w:rPr>
          <w:rFonts w:ascii="Garamond" w:hAnsi="Garamond"/>
        </w:rPr>
        <w:t>e</w:t>
      </w:r>
      <w:r w:rsidRPr="007531D1">
        <w:rPr>
          <w:rFonts w:ascii="Garamond" w:hAnsi="Garamond"/>
        </w:rPr>
        <w:t xml:space="preserve">-mailovou adresu: </w:t>
      </w:r>
      <w:r w:rsidRPr="00AC2F0B">
        <w:rPr>
          <w:rFonts w:ascii="Garamond" w:hAnsi="Garamond"/>
          <w:b/>
        </w:rPr>
        <w:t>podatelna@ksoud.ova.justice.cz</w:t>
      </w:r>
      <w:r w:rsidRPr="007531D1">
        <w:rPr>
          <w:rFonts w:ascii="Garamond" w:hAnsi="Garamond"/>
        </w:rPr>
        <w:t xml:space="preserve"> </w:t>
      </w:r>
    </w:p>
    <w:p w14:paraId="75FDD708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62F32B0" w14:textId="77777777" w:rsidR="00CE142B" w:rsidRPr="00266450" w:rsidRDefault="00CE142B" w:rsidP="00CE142B">
      <w:pPr>
        <w:pStyle w:val="Default"/>
        <w:jc w:val="both"/>
        <w:rPr>
          <w:rFonts w:ascii="Garamond" w:hAnsi="Garamond"/>
          <w:u w:val="single"/>
        </w:rPr>
      </w:pPr>
      <w:r w:rsidRPr="00266450">
        <w:rPr>
          <w:rFonts w:ascii="Garamond" w:hAnsi="Garamond"/>
          <w:u w:val="single"/>
        </w:rPr>
        <w:t xml:space="preserve">Datová schránka </w:t>
      </w:r>
    </w:p>
    <w:p w14:paraId="7BB84940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67DF08BE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Vaše žádosti o poskytnutí informací dle zákona č. 106/1999 Sb., o svobodném přístupu k informacím, ve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znění pozdějších předpisů, můžete povinnému subjektu zaslat do datové schránky, </w:t>
      </w:r>
    </w:p>
    <w:p w14:paraId="725F61D3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ID datové schránky: </w:t>
      </w:r>
      <w:proofErr w:type="spellStart"/>
      <w:r w:rsidRPr="007531D1">
        <w:rPr>
          <w:rFonts w:ascii="Garamond" w:hAnsi="Garamond"/>
          <w:b/>
          <w:bCs/>
        </w:rPr>
        <w:t>jhyaeqv</w:t>
      </w:r>
      <w:proofErr w:type="spellEnd"/>
    </w:p>
    <w:p w14:paraId="5038BEB5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BF904B1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  <w:sz w:val="28"/>
          <w:szCs w:val="28"/>
        </w:rPr>
      </w:pPr>
      <w:r w:rsidRPr="00014403">
        <w:rPr>
          <w:rFonts w:ascii="Garamond" w:hAnsi="Garamond"/>
          <w:b/>
          <w:bCs/>
          <w:sz w:val="28"/>
          <w:szCs w:val="28"/>
        </w:rPr>
        <w:t xml:space="preserve">Opravné prostředky </w:t>
      </w:r>
    </w:p>
    <w:p w14:paraId="0B35B31A" w14:textId="77777777" w:rsidR="00CE142B" w:rsidRPr="00014403" w:rsidRDefault="00CE142B" w:rsidP="00CE142B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262493C9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V případě, že </w:t>
      </w:r>
      <w:r>
        <w:rPr>
          <w:rFonts w:ascii="Garamond" w:hAnsi="Garamond"/>
        </w:rPr>
        <w:t>krajský soud</w:t>
      </w:r>
      <w:r w:rsidRPr="007531D1">
        <w:rPr>
          <w:rFonts w:ascii="Garamond" w:hAnsi="Garamond"/>
        </w:rPr>
        <w:t xml:space="preserve"> žádosti o poskytnutí informací, byť i jen zčásti nevyhoví, vydá o tom rozhodnutí. Proti rozhodnutí povinného subjektu o odmítnutí žádosti lze podat </w:t>
      </w:r>
      <w:r w:rsidRPr="007531D1">
        <w:rPr>
          <w:rFonts w:ascii="Garamond" w:hAnsi="Garamond"/>
          <w:b/>
          <w:bCs/>
        </w:rPr>
        <w:t xml:space="preserve">odvolání podle ustanovení § 16 zákona č. 106/1999 Sb., a to do 15 dnů od oznámení rozhodnutí. </w:t>
      </w:r>
      <w:r w:rsidRPr="007531D1">
        <w:rPr>
          <w:rFonts w:ascii="Garamond" w:hAnsi="Garamond"/>
        </w:rPr>
        <w:t>Odvolání se podává u Krajského soudu v Ostravě, který rozhodnutí vydal. O odvolání rozhoduje podle Instrukce Ministerstva spravedlnosti ČR č. 13/2008-SOSV-SP, kterou se provádějí některá ustanovení zákona č.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 xml:space="preserve">106/1999 Sb., o svobodném přístupu k informacím, ve znění pozdějších předpisů, Ministerstvo spravedlnosti ČR. Proti rozhodnutí o odvolání se nelze odvolat. O odvolání může rozhodnout povinný subjekt i sám, pokud mu v plném rozsahu vyhoví a spolu s rozhodnutím o odvolání poskytne žadateli požadovanou informaci. </w:t>
      </w:r>
    </w:p>
    <w:p w14:paraId="6446475B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  <w:r w:rsidRPr="00D11999">
        <w:rPr>
          <w:rFonts w:ascii="Garamond" w:hAnsi="Garamond"/>
          <w:b/>
        </w:rPr>
        <w:t>S</w:t>
      </w:r>
      <w:r w:rsidRPr="007531D1">
        <w:rPr>
          <w:rFonts w:ascii="Garamond" w:hAnsi="Garamond"/>
          <w:b/>
          <w:bCs/>
        </w:rPr>
        <w:t>tížnost na postup při vyř</w:t>
      </w:r>
      <w:r>
        <w:rPr>
          <w:rFonts w:ascii="Garamond" w:hAnsi="Garamond"/>
          <w:b/>
          <w:bCs/>
        </w:rPr>
        <w:t>i</w:t>
      </w:r>
      <w:r w:rsidRPr="007531D1">
        <w:rPr>
          <w:rFonts w:ascii="Garamond" w:hAnsi="Garamond"/>
          <w:b/>
          <w:bCs/>
        </w:rPr>
        <w:t>zování žádosti o informace upravuje ustanovení § 16a zákona č.</w:t>
      </w:r>
      <w:r>
        <w:rPr>
          <w:rFonts w:ascii="Garamond" w:hAnsi="Garamond"/>
          <w:b/>
          <w:bCs/>
        </w:rPr>
        <w:t> </w:t>
      </w:r>
      <w:r w:rsidRPr="007531D1">
        <w:rPr>
          <w:rFonts w:ascii="Garamond" w:hAnsi="Garamond"/>
          <w:b/>
          <w:bCs/>
        </w:rPr>
        <w:t xml:space="preserve">106/1999 Sb. </w:t>
      </w:r>
    </w:p>
    <w:p w14:paraId="772C56E1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7B0DFA5C" w14:textId="77777777" w:rsidR="00CE142B" w:rsidRPr="00404A05" w:rsidRDefault="00CE142B" w:rsidP="00CE142B">
      <w:pPr>
        <w:pStyle w:val="Default"/>
        <w:jc w:val="both"/>
        <w:rPr>
          <w:rFonts w:ascii="Garamond" w:hAnsi="Garamond"/>
          <w:sz w:val="28"/>
          <w:szCs w:val="28"/>
        </w:rPr>
      </w:pPr>
    </w:p>
    <w:p w14:paraId="624A88BE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  <w:r w:rsidRPr="00404A05">
        <w:rPr>
          <w:rFonts w:ascii="Garamond" w:hAnsi="Garamond"/>
          <w:b/>
          <w:bCs/>
          <w:sz w:val="28"/>
          <w:szCs w:val="28"/>
        </w:rPr>
        <w:t>Sazebník úhrad za poskytování informací</w:t>
      </w:r>
      <w:r w:rsidRPr="007531D1">
        <w:rPr>
          <w:rFonts w:ascii="Garamond" w:hAnsi="Garamond"/>
          <w:b/>
          <w:bCs/>
        </w:rPr>
        <w:t xml:space="preserve"> </w:t>
      </w:r>
    </w:p>
    <w:p w14:paraId="606CBB76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466080EC" w14:textId="77777777" w:rsidR="00CE142B" w:rsidRDefault="00CE142B" w:rsidP="00CE142B">
      <w:pPr>
        <w:pStyle w:val="Default"/>
        <w:numPr>
          <w:ilvl w:val="0"/>
          <w:numId w:val="5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Instrukce č. 286/2011-OT-OSV Ministerstva spravedlnosti, kterou se stanoví sazebník úhrad za poskytování informací podle zákona č. 106/1999 Sb., o svobodném přístupu k informacím, ve znění pozdějších předpisů. </w:t>
      </w:r>
    </w:p>
    <w:p w14:paraId="7F3EBC84" w14:textId="77777777" w:rsidR="00CE142B" w:rsidRDefault="00CE142B" w:rsidP="00CE142B">
      <w:pPr>
        <w:pStyle w:val="Default"/>
        <w:numPr>
          <w:ilvl w:val="0"/>
          <w:numId w:val="5"/>
        </w:numPr>
        <w:jc w:val="both"/>
        <w:rPr>
          <w:rFonts w:ascii="Garamond" w:hAnsi="Garamond"/>
        </w:rPr>
      </w:pPr>
      <w:r w:rsidRPr="00404A05">
        <w:rPr>
          <w:rFonts w:ascii="Garamond" w:hAnsi="Garamond"/>
        </w:rPr>
        <w:t>Podle ustanovení § 17 odst. 1 zákona č. 106/1999 Sb. povinné subjekty jsou v souvislosti s</w:t>
      </w:r>
      <w:r>
        <w:rPr>
          <w:rFonts w:ascii="Garamond" w:hAnsi="Garamond"/>
        </w:rPr>
        <w:t> </w:t>
      </w:r>
      <w:r w:rsidRPr="00404A05">
        <w:rPr>
          <w:rFonts w:ascii="Garamond" w:hAnsi="Garamond"/>
        </w:rPr>
        <w:t xml:space="preserve">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 </w:t>
      </w:r>
    </w:p>
    <w:p w14:paraId="24D30B8A" w14:textId="77777777" w:rsidR="00CE142B" w:rsidRDefault="00CE142B" w:rsidP="00CE142B">
      <w:pPr>
        <w:pStyle w:val="Default"/>
        <w:numPr>
          <w:ilvl w:val="0"/>
          <w:numId w:val="5"/>
        </w:numPr>
        <w:jc w:val="both"/>
        <w:rPr>
          <w:rFonts w:ascii="Garamond" w:hAnsi="Garamond"/>
        </w:rPr>
      </w:pPr>
      <w:r w:rsidRPr="00404A05">
        <w:rPr>
          <w:rFonts w:ascii="Garamond" w:hAnsi="Garamond"/>
        </w:rPr>
        <w:t xml:space="preserve">Podle třetího odstavce téhož ustanovení v případě, že bude povinný subjekt za poskytnutí informace požadovat úhradu, písemně oznámí tuto skutečnost spolu s výší úhrady žadateli před </w:t>
      </w:r>
      <w:r w:rsidRPr="00404A05">
        <w:rPr>
          <w:rFonts w:ascii="Garamond" w:hAnsi="Garamond"/>
        </w:rPr>
        <w:lastRenderedPageBreak/>
        <w:t xml:space="preserve">poskytnutím informace. Z oznámení musí být zřejmé, na </w:t>
      </w:r>
      <w:proofErr w:type="gramStart"/>
      <w:r w:rsidRPr="00404A05">
        <w:rPr>
          <w:rFonts w:ascii="Garamond" w:hAnsi="Garamond"/>
        </w:rPr>
        <w:t>základě</w:t>
      </w:r>
      <w:proofErr w:type="gramEnd"/>
      <w:r w:rsidRPr="00404A05">
        <w:rPr>
          <w:rFonts w:ascii="Garamond" w:hAnsi="Garamond"/>
        </w:rPr>
        <w:t xml:space="preserve"> jakých skutečností a jakým způsobem byla výše úhrady povinným subjektem vyčíslena. </w:t>
      </w:r>
    </w:p>
    <w:p w14:paraId="4F6E8313" w14:textId="77777777" w:rsidR="00CE142B" w:rsidRDefault="00CE142B" w:rsidP="00CE142B">
      <w:pPr>
        <w:pStyle w:val="Default"/>
        <w:numPr>
          <w:ilvl w:val="0"/>
          <w:numId w:val="5"/>
        </w:numPr>
        <w:jc w:val="both"/>
        <w:rPr>
          <w:rFonts w:ascii="Garamond" w:hAnsi="Garamond"/>
        </w:rPr>
      </w:pPr>
      <w:r w:rsidRPr="00404A05">
        <w:rPr>
          <w:rFonts w:ascii="Garamond" w:hAnsi="Garamond"/>
        </w:rPr>
        <w:t xml:space="preserve">Podle odstavce pátého téhož ustanovení poskytnutí informace podle odstavce 3 je podmíněno zaplacením požadované úhrady. Pokud žadatel </w:t>
      </w:r>
      <w:r w:rsidRPr="00BA7888">
        <w:rPr>
          <w:rFonts w:ascii="Garamond" w:hAnsi="Garamond"/>
          <w:b/>
        </w:rPr>
        <w:t>do 60 dnů</w:t>
      </w:r>
      <w:r w:rsidRPr="00404A05">
        <w:rPr>
          <w:rFonts w:ascii="Garamond" w:hAnsi="Garamond"/>
        </w:rPr>
        <w:t xml:space="preserve"> ode dne oznámení výše požadované úhrady úhradu nezaplatí, povinný subjekt žádost </w:t>
      </w:r>
      <w:proofErr w:type="gramStart"/>
      <w:r w:rsidRPr="00404A05">
        <w:rPr>
          <w:rFonts w:ascii="Garamond" w:hAnsi="Garamond"/>
        </w:rPr>
        <w:t>odloží</w:t>
      </w:r>
      <w:proofErr w:type="gramEnd"/>
      <w:r w:rsidRPr="00404A05">
        <w:rPr>
          <w:rFonts w:ascii="Garamond" w:hAnsi="Garamond"/>
        </w:rPr>
        <w:t xml:space="preserve">. Po dobu vyřizování stížnosti proti výši požadované úhrady lhůta podle věty druhé </w:t>
      </w:r>
      <w:proofErr w:type="gramStart"/>
      <w:r w:rsidRPr="00404A05">
        <w:rPr>
          <w:rFonts w:ascii="Garamond" w:hAnsi="Garamond"/>
        </w:rPr>
        <w:t>neběží</w:t>
      </w:r>
      <w:proofErr w:type="gramEnd"/>
      <w:r w:rsidRPr="00404A05">
        <w:rPr>
          <w:rFonts w:ascii="Garamond" w:hAnsi="Garamond"/>
        </w:rPr>
        <w:t xml:space="preserve">. </w:t>
      </w:r>
    </w:p>
    <w:p w14:paraId="5DA756DA" w14:textId="77777777" w:rsidR="00CE142B" w:rsidRPr="00404A05" w:rsidRDefault="00CE142B" w:rsidP="00CE142B">
      <w:pPr>
        <w:pStyle w:val="Default"/>
        <w:ind w:left="720"/>
        <w:jc w:val="both"/>
        <w:rPr>
          <w:rFonts w:ascii="Garamond" w:hAnsi="Garamond"/>
        </w:rPr>
      </w:pPr>
    </w:p>
    <w:p w14:paraId="77BBD90F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  <w:r w:rsidRPr="007531D1">
        <w:rPr>
          <w:rFonts w:ascii="Garamond" w:hAnsi="Garamond"/>
          <w:b/>
          <w:bCs/>
        </w:rPr>
        <w:t>Vybraná ustanovení sazebníku úhrad za poskytování info</w:t>
      </w:r>
      <w:r>
        <w:rPr>
          <w:rFonts w:ascii="Garamond" w:hAnsi="Garamond"/>
          <w:b/>
          <w:bCs/>
        </w:rPr>
        <w:t xml:space="preserve">rmací </w:t>
      </w:r>
    </w:p>
    <w:p w14:paraId="7C831BEB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>Instrukce č. 286/2011-OT-OSV Ministerstva spravedlnosti, kterou se stanoví sazebník úhrad za poskytování informací podle zákona č.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106/1999 Sb., o svobodném přístupu k informacím, ve znění pozdějších předpisů.</w:t>
      </w:r>
    </w:p>
    <w:p w14:paraId="4CD2EFCB" w14:textId="77777777" w:rsidR="00CE142B" w:rsidRDefault="00CE142B" w:rsidP="00CE142B">
      <w:pPr>
        <w:pStyle w:val="Default"/>
        <w:jc w:val="both"/>
        <w:rPr>
          <w:rFonts w:ascii="Garamond" w:hAnsi="Garamond"/>
          <w:b/>
          <w:bCs/>
        </w:rPr>
      </w:pPr>
    </w:p>
    <w:p w14:paraId="53462E77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  <w:b/>
          <w:bCs/>
        </w:rPr>
        <w:t xml:space="preserve">Náklady na pořízení kopií </w:t>
      </w:r>
    </w:p>
    <w:p w14:paraId="46715E67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063F60BA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Za pořízení kopie formátu A4 </w:t>
      </w:r>
    </w:p>
    <w:p w14:paraId="486E61BD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4DA862E8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a) </w:t>
      </w:r>
      <w:r>
        <w:rPr>
          <w:rFonts w:ascii="Garamond" w:hAnsi="Garamond"/>
        </w:rPr>
        <w:t>j</w:t>
      </w:r>
      <w:r w:rsidRPr="007531D1">
        <w:rPr>
          <w:rFonts w:ascii="Garamond" w:hAnsi="Garamond"/>
        </w:rPr>
        <w:t xml:space="preserve">ednostranná 2,- Kč </w:t>
      </w:r>
    </w:p>
    <w:p w14:paraId="4FE7308D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b) oboustranná 3,- Kč </w:t>
      </w:r>
    </w:p>
    <w:p w14:paraId="733E7BFE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3F27B942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Za pořízení kopie formátu A3 </w:t>
      </w:r>
    </w:p>
    <w:p w14:paraId="71FAE7B9" w14:textId="77777777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4198A0BD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a) </w:t>
      </w:r>
      <w:r>
        <w:rPr>
          <w:rFonts w:ascii="Garamond" w:hAnsi="Garamond"/>
        </w:rPr>
        <w:t>j</w:t>
      </w:r>
      <w:r w:rsidRPr="007531D1">
        <w:rPr>
          <w:rFonts w:ascii="Garamond" w:hAnsi="Garamond"/>
        </w:rPr>
        <w:t xml:space="preserve">ednostranná 3,- Kč </w:t>
      </w:r>
    </w:p>
    <w:p w14:paraId="175B484E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b) oboustranná 4,- Kč </w:t>
      </w:r>
    </w:p>
    <w:p w14:paraId="23F1A36B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0816F380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  <w:b/>
          <w:bCs/>
        </w:rPr>
        <w:t xml:space="preserve">Náklady na pořízení technických nosičů dat </w:t>
      </w:r>
    </w:p>
    <w:p w14:paraId="73882EBE" w14:textId="77777777" w:rsidR="00CE142B" w:rsidRPr="007531D1" w:rsidRDefault="00CE142B" w:rsidP="00CE142B">
      <w:pPr>
        <w:pStyle w:val="Default"/>
        <w:numPr>
          <w:ilvl w:val="0"/>
          <w:numId w:val="6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za 1 kus CD, pokud tuto formu vyžaduje žadatel 10,- Kč. </w:t>
      </w:r>
    </w:p>
    <w:p w14:paraId="4A762689" w14:textId="77777777" w:rsidR="00CE142B" w:rsidRPr="007531D1" w:rsidRDefault="00CE142B" w:rsidP="00CE142B">
      <w:pPr>
        <w:pStyle w:val="Default"/>
        <w:numPr>
          <w:ilvl w:val="0"/>
          <w:numId w:val="6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za 1 kus DVD, pokud tuto formu vyžaduje žadatel 15,- Kč. </w:t>
      </w:r>
    </w:p>
    <w:p w14:paraId="31B124D2" w14:textId="77777777" w:rsidR="00CE142B" w:rsidRPr="007531D1" w:rsidRDefault="00CE142B" w:rsidP="00CE142B">
      <w:pPr>
        <w:pStyle w:val="Default"/>
        <w:numPr>
          <w:ilvl w:val="0"/>
          <w:numId w:val="6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 xml:space="preserve">v případě použití jiného technického nosiče dat se náklady stanoví ve výši jeho skutečné pořizovací ceny. </w:t>
      </w:r>
    </w:p>
    <w:p w14:paraId="73DE57F7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33E18A1B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  <w:b/>
          <w:bCs/>
        </w:rPr>
        <w:t xml:space="preserve">Náklady na odeslání informací žadateli </w:t>
      </w:r>
    </w:p>
    <w:p w14:paraId="6E7BEC85" w14:textId="77777777" w:rsidR="00CE142B" w:rsidRPr="007531D1" w:rsidRDefault="00CE142B" w:rsidP="00CE142B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N</w:t>
      </w:r>
      <w:r w:rsidRPr="007531D1">
        <w:rPr>
          <w:rFonts w:ascii="Garamond" w:hAnsi="Garamond"/>
        </w:rPr>
        <w:t>áklady za použitou nebo požadovanou poštovní službu se hradí ve výši skutečných nákladů dle platného ceníku použitého provozovatele poštovních služeb</w:t>
      </w:r>
      <w:r>
        <w:rPr>
          <w:rFonts w:ascii="Garamond" w:hAnsi="Garamond"/>
        </w:rPr>
        <w:t>,</w:t>
      </w:r>
      <w:r w:rsidRPr="007531D1">
        <w:rPr>
          <w:rFonts w:ascii="Garamond" w:hAnsi="Garamond"/>
        </w:rPr>
        <w:t xml:space="preserve"> </w:t>
      </w:r>
    </w:p>
    <w:p w14:paraId="232DABCB" w14:textId="77777777" w:rsidR="00CE142B" w:rsidRPr="007531D1" w:rsidRDefault="00CE142B" w:rsidP="00CE142B">
      <w:pPr>
        <w:pStyle w:val="Default"/>
        <w:numPr>
          <w:ilvl w:val="0"/>
          <w:numId w:val="7"/>
        </w:numPr>
        <w:jc w:val="both"/>
        <w:rPr>
          <w:rFonts w:ascii="Garamond" w:hAnsi="Garamond"/>
        </w:rPr>
      </w:pPr>
      <w:r>
        <w:rPr>
          <w:rFonts w:ascii="Garamond" w:hAnsi="Garamond"/>
        </w:rPr>
        <w:t>náklady na balné se nehradí.</w:t>
      </w:r>
    </w:p>
    <w:p w14:paraId="2A245FCB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507BA871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  <w:b/>
          <w:bCs/>
        </w:rPr>
        <w:t xml:space="preserve">Náklady na mimořádně rozsáhlé vyhledání informací </w:t>
      </w:r>
    </w:p>
    <w:p w14:paraId="32F9CBA5" w14:textId="77777777" w:rsidR="00CE142B" w:rsidRDefault="00CE142B" w:rsidP="00CE142B">
      <w:pPr>
        <w:pStyle w:val="Defaul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P</w:t>
      </w:r>
      <w:r w:rsidRPr="007531D1">
        <w:rPr>
          <w:rFonts w:ascii="Garamond" w:hAnsi="Garamond"/>
        </w:rPr>
        <w:t>okud je poskytnutí informace spojeno s mimořádně rozsáhlým vyhledáváním informací, stanoví se výše úhrady za každou hodinu vyhledávání jedním pracovníkem na 200,- Kč</w:t>
      </w:r>
      <w:r>
        <w:rPr>
          <w:rFonts w:ascii="Garamond" w:hAnsi="Garamond"/>
        </w:rPr>
        <w:t>,</w:t>
      </w:r>
      <w:r w:rsidRPr="007531D1">
        <w:rPr>
          <w:rFonts w:ascii="Garamond" w:hAnsi="Garamond"/>
        </w:rPr>
        <w:t xml:space="preserve"> </w:t>
      </w:r>
    </w:p>
    <w:p w14:paraId="3406558E" w14:textId="77777777" w:rsidR="00CE142B" w:rsidRPr="007531D1" w:rsidRDefault="00CE142B" w:rsidP="00CE142B">
      <w:pPr>
        <w:pStyle w:val="Default"/>
        <w:numPr>
          <w:ilvl w:val="0"/>
          <w:numId w:val="8"/>
        </w:numPr>
        <w:jc w:val="both"/>
        <w:rPr>
          <w:rFonts w:ascii="Garamond" w:hAnsi="Garamond"/>
        </w:rPr>
      </w:pPr>
      <w:r>
        <w:rPr>
          <w:rFonts w:ascii="Garamond" w:hAnsi="Garamond"/>
        </w:rPr>
        <w:t>v</w:t>
      </w:r>
      <w:r w:rsidRPr="007531D1">
        <w:rPr>
          <w:rFonts w:ascii="Garamond" w:hAnsi="Garamond"/>
        </w:rPr>
        <w:t xml:space="preserve"> případě mimořádně rozsáhlého vyhledávání informací více pracovníky je výše úhrady dána součtem částek připadajících na každého pracovníka</w:t>
      </w:r>
      <w:r>
        <w:rPr>
          <w:rFonts w:ascii="Garamond" w:hAnsi="Garamond"/>
        </w:rPr>
        <w:t>.</w:t>
      </w:r>
    </w:p>
    <w:p w14:paraId="720CEF8A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</w:p>
    <w:p w14:paraId="754E81DB" w14:textId="77777777" w:rsidR="00CE142B" w:rsidRPr="007531D1" w:rsidRDefault="00CE142B" w:rsidP="00CE142B">
      <w:pPr>
        <w:pStyle w:val="Default"/>
        <w:jc w:val="both"/>
        <w:rPr>
          <w:rFonts w:ascii="Garamond" w:hAnsi="Garamond"/>
        </w:rPr>
      </w:pPr>
      <w:r w:rsidRPr="007531D1">
        <w:rPr>
          <w:rFonts w:ascii="Garamond" w:hAnsi="Garamond"/>
          <w:b/>
          <w:bCs/>
        </w:rPr>
        <w:t xml:space="preserve">Společná ustanovení </w:t>
      </w:r>
    </w:p>
    <w:p w14:paraId="5FD8B128" w14:textId="77777777" w:rsidR="00CE142B" w:rsidRPr="007531D1" w:rsidRDefault="00CE142B" w:rsidP="00CE142B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>
        <w:rPr>
          <w:rFonts w:ascii="Garamond" w:hAnsi="Garamond"/>
        </w:rPr>
        <w:t>H</w:t>
      </w:r>
      <w:r w:rsidRPr="007531D1">
        <w:rPr>
          <w:rFonts w:ascii="Garamond" w:hAnsi="Garamond"/>
        </w:rPr>
        <w:t>razení nákladů podle tohoto sazebníku je povinnými subjekty požadováno pouze tehdy, přesáhnou-li náklady na poskytnutí informace částku 100,- Kč bez nákladů na poštovní služby</w:t>
      </w:r>
      <w:r>
        <w:rPr>
          <w:rFonts w:ascii="Garamond" w:hAnsi="Garamond"/>
        </w:rPr>
        <w:t>,</w:t>
      </w:r>
      <w:r w:rsidRPr="007531D1">
        <w:rPr>
          <w:rFonts w:ascii="Garamond" w:hAnsi="Garamond"/>
        </w:rPr>
        <w:t xml:space="preserve"> </w:t>
      </w:r>
    </w:p>
    <w:p w14:paraId="17113C73" w14:textId="35F88DF9" w:rsidR="00CE142B" w:rsidRDefault="00CE142B" w:rsidP="00CE142B">
      <w:pPr>
        <w:pStyle w:val="Default"/>
        <w:numPr>
          <w:ilvl w:val="0"/>
          <w:numId w:val="9"/>
        </w:numPr>
        <w:jc w:val="both"/>
        <w:rPr>
          <w:rFonts w:ascii="Garamond" w:hAnsi="Garamond"/>
        </w:rPr>
      </w:pPr>
      <w:r w:rsidRPr="007531D1">
        <w:rPr>
          <w:rFonts w:ascii="Garamond" w:hAnsi="Garamond"/>
        </w:rPr>
        <w:t>vyhledávání informací trvající celkově méně než 1 hodinu nelze považovat za mimořádně rozsáhlé, a</w:t>
      </w:r>
      <w:r>
        <w:rPr>
          <w:rFonts w:ascii="Garamond" w:hAnsi="Garamond"/>
        </w:rPr>
        <w:t> </w:t>
      </w:r>
      <w:r w:rsidRPr="007531D1">
        <w:rPr>
          <w:rFonts w:ascii="Garamond" w:hAnsi="Garamond"/>
        </w:rPr>
        <w:t>povinný subjekt proto není oprávněn požadovat úhradu za mimořádně</w:t>
      </w:r>
      <w:r>
        <w:rPr>
          <w:rFonts w:ascii="Garamond" w:hAnsi="Garamond"/>
        </w:rPr>
        <w:t xml:space="preserve"> rozsáhlé vyhledávání informací.</w:t>
      </w:r>
    </w:p>
    <w:p w14:paraId="1B6B585C" w14:textId="00298AA2" w:rsidR="00CE142B" w:rsidRDefault="00CE142B" w:rsidP="00CE142B">
      <w:pPr>
        <w:pStyle w:val="Default"/>
        <w:jc w:val="both"/>
        <w:rPr>
          <w:rFonts w:ascii="Garamond" w:hAnsi="Garamond"/>
        </w:rPr>
      </w:pPr>
    </w:p>
    <w:p w14:paraId="2FC0AFA9" w14:textId="3603052F" w:rsidR="00E53A8E" w:rsidRPr="006E56C2" w:rsidRDefault="00CE142B" w:rsidP="00CE142B">
      <w:pPr>
        <w:pStyle w:val="Default"/>
        <w:jc w:val="both"/>
        <w:rPr>
          <w:u w:val="single"/>
        </w:rPr>
      </w:pPr>
      <w:r w:rsidRPr="006E56C2">
        <w:rPr>
          <w:rFonts w:ascii="Garamond" w:hAnsi="Garamond"/>
          <w:color w:val="FF0000"/>
          <w:u w:val="single"/>
        </w:rPr>
        <w:t>Za mimořádně rozsáhlé vyhledávání informací považuje povinný subjekt i provádění anonymizace textu soudních rozhodnutí, pokud je rozsah požadovaných informací větší než 100 stran.</w:t>
      </w:r>
    </w:p>
    <w:sectPr w:rsidR="00E53A8E" w:rsidRPr="006E56C2" w:rsidSect="00F41DA3">
      <w:pgSz w:w="11911" w:h="17340"/>
      <w:pgMar w:top="1810" w:right="967" w:bottom="1417" w:left="116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72216"/>
    <w:multiLevelType w:val="hybridMultilevel"/>
    <w:tmpl w:val="9F58964C"/>
    <w:lvl w:ilvl="0" w:tplc="04A2028C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5E1D"/>
    <w:multiLevelType w:val="hybridMultilevel"/>
    <w:tmpl w:val="73B6A7D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A2930"/>
    <w:multiLevelType w:val="hybridMultilevel"/>
    <w:tmpl w:val="BFF6C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F032E"/>
    <w:multiLevelType w:val="hybridMultilevel"/>
    <w:tmpl w:val="60D678F0"/>
    <w:lvl w:ilvl="0" w:tplc="04A2028C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F339B"/>
    <w:multiLevelType w:val="hybridMultilevel"/>
    <w:tmpl w:val="F22AB5FC"/>
    <w:lvl w:ilvl="0" w:tplc="04A2028C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7175F9"/>
    <w:multiLevelType w:val="hybridMultilevel"/>
    <w:tmpl w:val="27F0718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736E3"/>
    <w:multiLevelType w:val="hybridMultilevel"/>
    <w:tmpl w:val="D354C9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F638C"/>
    <w:multiLevelType w:val="hybridMultilevel"/>
    <w:tmpl w:val="73DE9A78"/>
    <w:lvl w:ilvl="0" w:tplc="04A2028C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50EF9"/>
    <w:multiLevelType w:val="hybridMultilevel"/>
    <w:tmpl w:val="F4D2DE5A"/>
    <w:lvl w:ilvl="0" w:tplc="04A2028C">
      <w:start w:val="3"/>
      <w:numFmt w:val="bullet"/>
      <w:lvlText w:val="-"/>
      <w:lvlJc w:val="left"/>
      <w:pPr>
        <w:ind w:left="720" w:hanging="360"/>
      </w:pPr>
      <w:rPr>
        <w:rFonts w:ascii="Garamond" w:eastAsia="Calibri" w:hAnsi="Garamond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69114">
    <w:abstractNumId w:val="5"/>
  </w:num>
  <w:num w:numId="2" w16cid:durableId="1741756479">
    <w:abstractNumId w:val="1"/>
  </w:num>
  <w:num w:numId="3" w16cid:durableId="1883639342">
    <w:abstractNumId w:val="6"/>
  </w:num>
  <w:num w:numId="4" w16cid:durableId="1044133417">
    <w:abstractNumId w:val="2"/>
  </w:num>
  <w:num w:numId="5" w16cid:durableId="2075811743">
    <w:abstractNumId w:val="8"/>
  </w:num>
  <w:num w:numId="6" w16cid:durableId="530998620">
    <w:abstractNumId w:val="7"/>
  </w:num>
  <w:num w:numId="7" w16cid:durableId="1344164273">
    <w:abstractNumId w:val="4"/>
  </w:num>
  <w:num w:numId="8" w16cid:durableId="695814151">
    <w:abstractNumId w:val="3"/>
  </w:num>
  <w:num w:numId="9" w16cid:durableId="3528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2B"/>
    <w:rsid w:val="00091633"/>
    <w:rsid w:val="000B5B47"/>
    <w:rsid w:val="000B666F"/>
    <w:rsid w:val="000D3922"/>
    <w:rsid w:val="000F2D6D"/>
    <w:rsid w:val="00112894"/>
    <w:rsid w:val="00117223"/>
    <w:rsid w:val="001211CC"/>
    <w:rsid w:val="00141C27"/>
    <w:rsid w:val="0015542C"/>
    <w:rsid w:val="00182C34"/>
    <w:rsid w:val="001D0763"/>
    <w:rsid w:val="001E3D38"/>
    <w:rsid w:val="00213716"/>
    <w:rsid w:val="002238E3"/>
    <w:rsid w:val="00234987"/>
    <w:rsid w:val="002349FD"/>
    <w:rsid w:val="00241B49"/>
    <w:rsid w:val="00275CDE"/>
    <w:rsid w:val="002A3068"/>
    <w:rsid w:val="002B3FC7"/>
    <w:rsid w:val="002C2647"/>
    <w:rsid w:val="002D5FE6"/>
    <w:rsid w:val="002F4394"/>
    <w:rsid w:val="002F4B35"/>
    <w:rsid w:val="0031015A"/>
    <w:rsid w:val="003422B3"/>
    <w:rsid w:val="00393716"/>
    <w:rsid w:val="00426E68"/>
    <w:rsid w:val="00462261"/>
    <w:rsid w:val="00474F1A"/>
    <w:rsid w:val="005042A5"/>
    <w:rsid w:val="0051225C"/>
    <w:rsid w:val="005A3A05"/>
    <w:rsid w:val="005C6FDE"/>
    <w:rsid w:val="005D1867"/>
    <w:rsid w:val="005E37C5"/>
    <w:rsid w:val="005F51E8"/>
    <w:rsid w:val="005F63AE"/>
    <w:rsid w:val="00622B50"/>
    <w:rsid w:val="006418A6"/>
    <w:rsid w:val="0066627F"/>
    <w:rsid w:val="00690807"/>
    <w:rsid w:val="006A691E"/>
    <w:rsid w:val="006E56C2"/>
    <w:rsid w:val="006F6DE7"/>
    <w:rsid w:val="007238FB"/>
    <w:rsid w:val="0076101D"/>
    <w:rsid w:val="007832B3"/>
    <w:rsid w:val="007B4056"/>
    <w:rsid w:val="007B7C80"/>
    <w:rsid w:val="007C0AE8"/>
    <w:rsid w:val="007E6094"/>
    <w:rsid w:val="00815F4B"/>
    <w:rsid w:val="00820879"/>
    <w:rsid w:val="00833417"/>
    <w:rsid w:val="008366E2"/>
    <w:rsid w:val="00862683"/>
    <w:rsid w:val="00866365"/>
    <w:rsid w:val="008673C9"/>
    <w:rsid w:val="0088163D"/>
    <w:rsid w:val="008904B4"/>
    <w:rsid w:val="00896BD2"/>
    <w:rsid w:val="008C1BF5"/>
    <w:rsid w:val="008E4EB2"/>
    <w:rsid w:val="008E7A87"/>
    <w:rsid w:val="008F780B"/>
    <w:rsid w:val="009248E8"/>
    <w:rsid w:val="00960021"/>
    <w:rsid w:val="009615A9"/>
    <w:rsid w:val="0097462D"/>
    <w:rsid w:val="009B0B72"/>
    <w:rsid w:val="009C5813"/>
    <w:rsid w:val="009D0B76"/>
    <w:rsid w:val="009E171C"/>
    <w:rsid w:val="009E2481"/>
    <w:rsid w:val="00A20602"/>
    <w:rsid w:val="00A351B1"/>
    <w:rsid w:val="00A405C9"/>
    <w:rsid w:val="00A80D86"/>
    <w:rsid w:val="00A958F3"/>
    <w:rsid w:val="00AB7EC9"/>
    <w:rsid w:val="00B16F0B"/>
    <w:rsid w:val="00B628D3"/>
    <w:rsid w:val="00B67F84"/>
    <w:rsid w:val="00B737A5"/>
    <w:rsid w:val="00B75FD4"/>
    <w:rsid w:val="00BC66BB"/>
    <w:rsid w:val="00BD7247"/>
    <w:rsid w:val="00C5133C"/>
    <w:rsid w:val="00C56BDA"/>
    <w:rsid w:val="00CA1A98"/>
    <w:rsid w:val="00CA2234"/>
    <w:rsid w:val="00CA2C92"/>
    <w:rsid w:val="00CC1E47"/>
    <w:rsid w:val="00CE142B"/>
    <w:rsid w:val="00D25327"/>
    <w:rsid w:val="00D42283"/>
    <w:rsid w:val="00D43C66"/>
    <w:rsid w:val="00D479F0"/>
    <w:rsid w:val="00D8690D"/>
    <w:rsid w:val="00DA5849"/>
    <w:rsid w:val="00DE6791"/>
    <w:rsid w:val="00DF12BF"/>
    <w:rsid w:val="00DF4F60"/>
    <w:rsid w:val="00E03780"/>
    <w:rsid w:val="00E44ED4"/>
    <w:rsid w:val="00E53A8E"/>
    <w:rsid w:val="00E55974"/>
    <w:rsid w:val="00E57CE4"/>
    <w:rsid w:val="00E611C3"/>
    <w:rsid w:val="00E91C23"/>
    <w:rsid w:val="00EE3068"/>
    <w:rsid w:val="00F03339"/>
    <w:rsid w:val="00F056F2"/>
    <w:rsid w:val="00F165DE"/>
    <w:rsid w:val="00F248BF"/>
    <w:rsid w:val="00F30B81"/>
    <w:rsid w:val="00F76E45"/>
    <w:rsid w:val="00F86B40"/>
    <w:rsid w:val="00F870AE"/>
    <w:rsid w:val="00FA71A7"/>
    <w:rsid w:val="00FD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C2BF9"/>
  <w15:chartTrackingRefBased/>
  <w15:docId w15:val="{3D4A8705-A4CC-4F5A-ABCA-A0DCB50D9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4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E142B"/>
    <w:pPr>
      <w:autoSpaceDE w:val="0"/>
      <w:autoSpaceDN w:val="0"/>
      <w:adjustRightInd w:val="0"/>
      <w:spacing w:after="0"/>
      <w:jc w:val="left"/>
    </w:pPr>
    <w:rPr>
      <w:rFonts w:ascii="Arial" w:eastAsia="Calibri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CE142B"/>
    <w:pPr>
      <w:ind w:left="708"/>
    </w:pPr>
    <w:rPr>
      <w:rFonts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1555</Words>
  <Characters>8431</Characters>
  <Application>Microsoft Office Word</Application>
  <DocSecurity>0</DocSecurity>
  <Lines>210</Lines>
  <Paragraphs>61</Paragraphs>
  <ScaleCrop>false</ScaleCrop>
  <Company>KS v Ostravě</Company>
  <LinksUpToDate>false</LinksUpToDate>
  <CharactersWithSpaces>9925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Slaninová Lenka</dc:creator>
  <cp:keywords/>
  <dc:description/>
  <cp:lastModifiedBy>Slaninová Lenka</cp:lastModifiedBy>
  <cp:revision>2</cp:revision>
  <dcterms:created xsi:type="dcterms:W3CDTF">2024-01-29T11:27:00Z</dcterms:created>
  <dcterms:modified xsi:type="dcterms:W3CDTF">2024-01-29T11:30:00Z</dcterms:modified>
</cp:coreProperties>
</file>