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8C38B9" w:rsidRDefault="008C38B9" w:rsidP="008C38B9">
      <w:pPr>
        <w:pStyle w:val="Odstaveczhlav"/>
      </w:pPr>
      <w:r w:rsidRPr="008C38B9">
        <w:t>Krajský soud v Plzni rozhodl v senátě složeném z předsedy JUDr. Zdeňka Jeřábka a soudkyň JUDr. Evy Kotrbaté a JUDr. Nataši Loužilové ve věci</w:t>
      </w:r>
    </w:p>
    <w:p w:rsidR="008C38B9" w:rsidRDefault="008C38B9" w:rsidP="008C38B9">
      <w:pPr>
        <w:pStyle w:val="Odstaveczhlav"/>
      </w:pPr>
      <w:r w:rsidRPr="008C38B9">
        <w:t>žalobkyně:</w:t>
      </w:r>
    </w:p>
    <w:p w:rsidR="008C38B9" w:rsidRDefault="008C38B9" w:rsidP="008C38B9">
      <w:pPr>
        <w:pStyle w:val="Odstaveczhlav"/>
      </w:pPr>
      <w:r w:rsidRPr="008C38B9">
        <w:t xml:space="preserve">; </w:t>
      </w:r>
      <w:r>
        <w:t>[</w:t>
      </w:r>
      <w:r w:rsidRPr="008C38B9">
        <w:rPr>
          <w:shd w:val="clear" w:color="auto" w:fill="CCCCCC"/>
        </w:rPr>
        <w:t>celé jméno žalobkyně</w:t>
      </w:r>
      <w:r w:rsidRPr="008C38B9">
        <w:t xml:space="preserve">], narozená dne </w:t>
      </w:r>
      <w:r>
        <w:t>[</w:t>
      </w:r>
      <w:r w:rsidRPr="008C38B9">
        <w:rPr>
          <w:shd w:val="clear" w:color="auto" w:fill="CCCCCC"/>
        </w:rPr>
        <w:t>datum</w:t>
      </w:r>
      <w:r w:rsidRPr="008C38B9">
        <w:t>]</w:t>
      </w:r>
    </w:p>
    <w:p w:rsidR="008C38B9" w:rsidRDefault="008C38B9" w:rsidP="008C38B9">
      <w:pPr>
        <w:pStyle w:val="Odstaveczhlav"/>
      </w:pPr>
      <w:r w:rsidRPr="008C38B9">
        <w:t xml:space="preserve">bytem </w:t>
      </w:r>
      <w:r>
        <w:t>[</w:t>
      </w:r>
      <w:r w:rsidRPr="008C38B9">
        <w:rPr>
          <w:shd w:val="clear" w:color="auto" w:fill="CCCCCC"/>
        </w:rPr>
        <w:t>adresa žalobkyně</w:t>
      </w:r>
      <w:r w:rsidRPr="008C38B9">
        <w:t>]</w:t>
      </w:r>
    </w:p>
    <w:p w:rsidR="008C38B9" w:rsidRDefault="008C38B9" w:rsidP="008C38B9">
      <w:pPr>
        <w:pStyle w:val="Odstaveczhlav"/>
      </w:pPr>
      <w:r w:rsidRPr="008C38B9">
        <w:t xml:space="preserve">zastoupená advokátkou JUDr. </w:t>
      </w:r>
      <w:r>
        <w:t>[</w:t>
      </w:r>
      <w:r w:rsidRPr="008C38B9">
        <w:rPr>
          <w:shd w:val="clear" w:color="auto" w:fill="CCCCCC"/>
        </w:rPr>
        <w:t>jméno</w:t>
      </w:r>
      <w:r w:rsidRPr="008C38B9">
        <w:t xml:space="preserve">] </w:t>
      </w:r>
      <w:r>
        <w:t>[</w:t>
      </w:r>
      <w:r w:rsidRPr="008C38B9">
        <w:rPr>
          <w:shd w:val="clear" w:color="auto" w:fill="CCCCCC"/>
        </w:rPr>
        <w:t>příjmení</w:t>
      </w:r>
      <w:r w:rsidRPr="008C38B9">
        <w:t>]</w:t>
      </w:r>
    </w:p>
    <w:p w:rsidR="008C38B9" w:rsidRDefault="008C38B9" w:rsidP="008C38B9">
      <w:pPr>
        <w:pStyle w:val="Odstaveczhlav"/>
        <w:jc w:val="left"/>
      </w:pPr>
      <w:r w:rsidRPr="008C38B9">
        <w:t xml:space="preserve">sídlem </w:t>
      </w:r>
      <w:r>
        <w:t>[</w:t>
      </w:r>
      <w:r w:rsidRPr="008C38B9">
        <w:rPr>
          <w:shd w:val="clear" w:color="auto" w:fill="CCCCCC"/>
        </w:rPr>
        <w:t>adresa</w:t>
      </w:r>
      <w:r w:rsidRPr="008C38B9">
        <w:t>]</w:t>
      </w:r>
    </w:p>
    <w:p w:rsidR="008C38B9" w:rsidRDefault="008C38B9" w:rsidP="008C38B9">
      <w:pPr>
        <w:pStyle w:val="Odstaveczhlav"/>
        <w:jc w:val="left"/>
      </w:pPr>
      <w:r w:rsidRPr="008C38B9">
        <w:t>proti;</w:t>
      </w:r>
    </w:p>
    <w:p w:rsidR="008C38B9" w:rsidRDefault="008C38B9" w:rsidP="008C38B9">
      <w:pPr>
        <w:pStyle w:val="Odstaveczhlav"/>
      </w:pPr>
      <w:r w:rsidRPr="008C38B9">
        <w:t>žalované:</w:t>
      </w:r>
    </w:p>
    <w:p w:rsidR="008C38B9" w:rsidRDefault="008C38B9" w:rsidP="008C38B9">
      <w:pPr>
        <w:pStyle w:val="Odstaveczhlav"/>
      </w:pPr>
      <w:r w:rsidRPr="008C38B9">
        <w:t xml:space="preserve">; </w:t>
      </w:r>
      <w:r>
        <w:t>[</w:t>
      </w:r>
      <w:r w:rsidRPr="008C38B9">
        <w:rPr>
          <w:shd w:val="clear" w:color="auto" w:fill="CCCCCC"/>
        </w:rPr>
        <w:t>celé jméno žalované</w:t>
      </w:r>
      <w:r w:rsidRPr="008C38B9">
        <w:t xml:space="preserve">], narozená dne </w:t>
      </w:r>
      <w:r>
        <w:t>[</w:t>
      </w:r>
      <w:r w:rsidRPr="008C38B9">
        <w:rPr>
          <w:shd w:val="clear" w:color="auto" w:fill="CCCCCC"/>
        </w:rPr>
        <w:t>datum</w:t>
      </w:r>
      <w:r w:rsidRPr="008C38B9">
        <w:t>]</w:t>
      </w:r>
    </w:p>
    <w:p w:rsidR="008C38B9" w:rsidRDefault="008C38B9" w:rsidP="008C38B9">
      <w:pPr>
        <w:pStyle w:val="Odstaveczhlav"/>
      </w:pPr>
      <w:r w:rsidRPr="008C38B9">
        <w:t xml:space="preserve">bytem </w:t>
      </w:r>
      <w:r>
        <w:t>[</w:t>
      </w:r>
      <w:r w:rsidRPr="008C38B9">
        <w:rPr>
          <w:shd w:val="clear" w:color="auto" w:fill="CCCCCC"/>
        </w:rPr>
        <w:t>adresa žalované</w:t>
      </w:r>
      <w:r w:rsidRPr="008C38B9">
        <w:t>]</w:t>
      </w:r>
    </w:p>
    <w:p w:rsidR="008C38B9" w:rsidRDefault="008C38B9" w:rsidP="008C38B9">
      <w:pPr>
        <w:pStyle w:val="Odstaveczhlav"/>
      </w:pPr>
      <w:r w:rsidRPr="008C38B9">
        <w:t xml:space="preserve">zastoupená advokátem JUDr Ing. </w:t>
      </w:r>
      <w:r>
        <w:t>[</w:t>
      </w:r>
      <w:r w:rsidRPr="008C38B9">
        <w:rPr>
          <w:shd w:val="clear" w:color="auto" w:fill="CCCCCC"/>
        </w:rPr>
        <w:t>jméno</w:t>
      </w:r>
      <w:r w:rsidRPr="008C38B9">
        <w:t xml:space="preserve">] </w:t>
      </w:r>
      <w:r>
        <w:t>[</w:t>
      </w:r>
      <w:r w:rsidRPr="008C38B9">
        <w:rPr>
          <w:shd w:val="clear" w:color="auto" w:fill="CCCCCC"/>
        </w:rPr>
        <w:t>příjmení</w:t>
      </w:r>
      <w:r w:rsidRPr="008C38B9">
        <w:t>], LL.M.,</w:t>
      </w:r>
    </w:p>
    <w:p w:rsidR="008C38B9" w:rsidRDefault="008C38B9" w:rsidP="008C38B9">
      <w:pPr>
        <w:pStyle w:val="Odstaveczhlav"/>
        <w:jc w:val="left"/>
      </w:pPr>
      <w:r w:rsidRPr="008C38B9">
        <w:t xml:space="preserve">sídlem </w:t>
      </w:r>
      <w:r>
        <w:t>[</w:t>
      </w:r>
      <w:r w:rsidRPr="008C38B9">
        <w:rPr>
          <w:shd w:val="clear" w:color="auto" w:fill="CCCCCC"/>
        </w:rPr>
        <w:t>adresa</w:t>
      </w:r>
      <w:r w:rsidRPr="008C38B9">
        <w:t>]</w:t>
      </w:r>
    </w:p>
    <w:p w:rsidR="008C38B9" w:rsidRDefault="008C38B9" w:rsidP="008C38B9">
      <w:pPr>
        <w:pStyle w:val="Odstaveczhlav"/>
        <w:rPr>
          <w:b/>
        </w:rPr>
      </w:pPr>
      <w:r w:rsidRPr="008C38B9">
        <w:rPr>
          <w:b/>
        </w:rPr>
        <w:t>o ochranu rušené držby</w:t>
      </w:r>
    </w:p>
    <w:p w:rsidR="004A5914" w:rsidRPr="008C38B9" w:rsidRDefault="008C38B9" w:rsidP="008C38B9">
      <w:pPr>
        <w:pStyle w:val="Odstaveczhlav"/>
        <w:jc w:val="left"/>
      </w:pPr>
      <w:r w:rsidRPr="008C38B9">
        <w:t>o odvolání žalobkyně a žalované proti usnesení Okresního soudu v Tachově ze dne 8. 11. 2019, č. j. 10 C 213/2019-47 ve spojení s opravným usnesením téhož soudu ze dne 4. 3. 2020, č. j. 10 C 213/2019-66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C38B9" w:rsidRDefault="008C38B9" w:rsidP="008C38B9">
      <w:pPr>
        <w:pStyle w:val="slovanvrok"/>
        <w:jc w:val="left"/>
      </w:pPr>
      <w:r w:rsidRPr="008C38B9">
        <w:t>Usnesení soudu prvního stupně se potvrzuje.</w:t>
      </w:r>
    </w:p>
    <w:p w:rsidR="008A0B5D" w:rsidRPr="008C38B9" w:rsidRDefault="008C38B9" w:rsidP="008C38B9">
      <w:pPr>
        <w:pStyle w:val="slovanvrok"/>
        <w:jc w:val="left"/>
      </w:pPr>
      <w:r w:rsidRPr="008C38B9">
        <w:t>Žádný z účastníků nemá právo na náhradu nákladů odvolacího řízení.</w:t>
      </w:r>
    </w:p>
    <w:p w:rsidR="008A0B5D" w:rsidRDefault="008A0B5D" w:rsidP="008A0B5D">
      <w:pPr>
        <w:pStyle w:val="Nadpisstirozsudku"/>
      </w:pPr>
      <w:r>
        <w:t>Odůvodnění:</w:t>
      </w:r>
    </w:p>
    <w:p w:rsidR="008C38B9" w:rsidRDefault="008C38B9" w:rsidP="008C38B9">
      <w:r w:rsidRPr="008C38B9">
        <w:t xml:space="preserve">1. Napadeným usnesením soud prvního stupně uložil žalované, aby se s účinností od vyhlášení usnesení zdržela jakéhokoli rušení držby oplocení umístěného na hranici mezi pozemky č. parc. </w:t>
      </w:r>
      <w:r>
        <w:t>[</w:t>
      </w:r>
      <w:r w:rsidRPr="008C38B9">
        <w:rPr>
          <w:shd w:val="clear" w:color="auto" w:fill="CCCCCC"/>
        </w:rPr>
        <w:t>anonymizována tři slova</w:t>
      </w:r>
      <w:r w:rsidRPr="008C38B9">
        <w:t xml:space="preserve">] a </w:t>
      </w:r>
      <w:r>
        <w:t>[</w:t>
      </w:r>
      <w:r w:rsidRPr="008C38B9">
        <w:rPr>
          <w:shd w:val="clear" w:color="auto" w:fill="CCCCCC"/>
        </w:rPr>
        <w:t>číslo</w:t>
      </w:r>
      <w:r w:rsidRPr="008C38B9">
        <w:t xml:space="preserve">] a </w:t>
      </w:r>
      <w:r>
        <w:t>[</w:t>
      </w:r>
      <w:r w:rsidRPr="008C38B9">
        <w:rPr>
          <w:shd w:val="clear" w:color="auto" w:fill="CCCCCC"/>
        </w:rPr>
        <w:t>číslo</w:t>
      </w:r>
      <w:r w:rsidRPr="008C38B9">
        <w:t xml:space="preserve">], vše v k. ú. </w:t>
      </w:r>
      <w:r>
        <w:t>[</w:t>
      </w:r>
      <w:r w:rsidRPr="008C38B9">
        <w:rPr>
          <w:shd w:val="clear" w:color="auto" w:fill="CCCCCC"/>
        </w:rPr>
        <w:t>obec</w:t>
      </w:r>
      <w:r w:rsidRPr="008C38B9">
        <w:t xml:space="preserve">], a to zejména zásahů spočívajících v přemisťování či novém umisťování kovových sloupků oplocení oproti jejich dosavadnímu umístění a stavby či obnovy plotu (výrok I). Návrh žalobkyně na uložení povinnosti žalované uvést oplocení umístěné na hranici mezi označenými pozemky v předešlý stav zamítl (výrok II). Návrh žalobkyně na uložení povinnosti žalované zdržet se jakéhokoli rušení držby parcel </w:t>
      </w:r>
      <w:r>
        <w:t>[</w:t>
      </w:r>
      <w:r w:rsidRPr="008C38B9">
        <w:rPr>
          <w:shd w:val="clear" w:color="auto" w:fill="CCCCCC"/>
        </w:rPr>
        <w:t>anonymizována dvě slova</w:t>
      </w:r>
      <w:r w:rsidRPr="008C38B9">
        <w:t xml:space="preserve">] a </w:t>
      </w:r>
      <w:r>
        <w:t>[</w:t>
      </w:r>
      <w:r w:rsidRPr="008C38B9">
        <w:rPr>
          <w:shd w:val="clear" w:color="auto" w:fill="CCCCCC"/>
        </w:rPr>
        <w:t>číslo</w:t>
      </w:r>
      <w:r w:rsidRPr="008C38B9">
        <w:t xml:space="preserve">], a to zejména vstupem na tyto pozemky, zamítl (výrok III). Žádnému z účastníků nepřiznal právo na náhradu nákladů řízení (výrok </w:t>
      </w:r>
      <w:r>
        <w:t>[</w:t>
      </w:r>
      <w:r w:rsidRPr="008C38B9">
        <w:rPr>
          <w:shd w:val="clear" w:color="auto" w:fill="CCCCCC"/>
        </w:rPr>
        <w:t>příjmení</w:t>
      </w:r>
      <w:r w:rsidRPr="008C38B9">
        <w:t xml:space="preserve">]). Žalobu posuzoval dle ust. § 176 a násl. o. s. ř. a dle § 1003 a násl. občanského zákoníku. Při rozhodování o žalobě se v souladu s ust. § 178 o. s. ř. omezil pouze na zjištění poslední řádné, poctivé a pravé držby a jejího případného svémocného rušení. Z provedených důkazů uzavřel, že právo oprávněné držby oplocení svědčí podle dostupných listinných důkazů žalobkyni a je ze strany žalované svévolně a neoprávněně rušeno. Ke zjištění zásahů do oplocení na straně žalobkyně došlo prokazatelně nejdříve 5. 8. 2019. Žalobkyně tak podala žalobu před uplynutím šestitýdenní prekluzivní lhůty dle § 1008 občanského zákoníku. Při místním šetření zjistil, že oplocení oddělující oblasti držby žalobkyně a žalované je tvořeno starým drátěným pletivem na kovových sloupcích místy v terénu nepevně zasazenými, </w:t>
      </w:r>
      <w:r w:rsidRPr="008C38B9">
        <w:lastRenderedPageBreak/>
        <w:t>místy odstraněnými či vyměněnými. V názoru na vlastnictví oplocení se účastnice neshodují. Bez dokazování, jehož rozsah by byl pro projednávané řízení nepřiměřený a nadbytečný, se tato otázka nedá autoritativně zodpovědět. Pletivo je starší a rezavé. Prakticky po celé délce je spojeno s povrchem prorůstající starší trávou, případně je zarostlé do křoviny. Soudem bylo zjištěno, že některé původní sloupky byly žalovanou vyměněny a nově zabetonovány. S ohledem na spornost vlastnictví oplocení a na možnost, že oplocení může být ve vlastnictví žalobkyně, proto soud výrokem I ve smyslu § 1003 o. z. žalované uložil, aby se zdržela jakéhokoli rušení držby oplocení na hranici mezi pozemky účastnic, a to zejména zásahy se žalobkyní předem nedohodnutými spočívajícími v přemísťování či novém umísťování kovových sloupků oplocení oproti jejich dosavadnímu umístění a stavby či obnovy plotu. Žalobkyně na druhou stranu neprokázala, že by zásahy do oplocení ze strany žalované došlo k přemístění optického vytýčení hranice pozemků v její neprospěch. Pokud se dovolává toho, že zabetonování sloupků probíhá zčásti na úkor jejích pozemků, když betonové lože přesahuje hranici oplocení a údajně i hranici vytýčenou původně v rámci zaměření, musí soud konstatovat, že zřejmě nedochází k zásahu mimo toleranci zaměření. Pokud soud vychází z toho, že průběh vlastnické hranice je v zásadě určen trasou dosavadního a podle zjištění soudu dlouhodobě neposouvaného vedení drátěného oplocení, nemohlo ani v rámci betonování dojít k zásahu do vlastnictví žalobkyně nad rámec tolerance. Protože tedy soud dospěl k závěru, že k narušení původního stavu a trasy oplocení nedošlo, nezbylo, než návrh žalobkyně na uložení povinnosti žalované uvést oplocení umístěné na hranici mezi pozemky účastnic v předešlý stav, zamítnout. Z totožných důvodů byl zamítnut i návrh žalobkyně na uložení povinnosti žalované zdržet se jakékoliv rušení držby parcel žalobkyní, a to zejména vstupem na tyto pozemky, když tvrzení o vstupu žalované či jiných osob z jejího pozemku na pozemky žalobkyně zůstalo neprokázáno. O nákladech řízení soud rozhodl dle porovnání úspěchu a neúspěchu každé z účastnic a žádné z účastnic právo na jejich náhradu nákladů řízení nepřiznal.</w:t>
      </w:r>
    </w:p>
    <w:p w:rsidR="008C38B9" w:rsidRDefault="008C38B9" w:rsidP="008C38B9">
      <w:r w:rsidRPr="008C38B9">
        <w:t>2. Proti tomuto usnesení podali včas odvolání žalobkyně i žalovaná. Odvolání žalobkyně směřovalo do zamítavých výroků pod body II a III. Uvedla v něm, že má za to, že již v době po roce 2000 docházelo ze strany žalované k manipulaci se sloupky oplocení a tudíž k možnému posunu celého oplocení do pozemku odvolatelky. Nelze jednoznačně uzavřít bez dalšího zjišťování, že nedošlo vůbec k narušení trasy oplocení v minulosti do doby, kdy bylo oplocení vybudováno, a že tedy stav, který zde několik let trvá, odpovídá stavu hranic mezi pozemky účastnic řízení. Odvolatelka se domnívá, že stávající pletivo netvoří hranici pozemků a žalovaná při budování sloupků oplocení v srpnu roku 2019 zasáhla do pozemku žalobkyně. Při této akci také musela vstupovat na pozemky žalobkyně. Žalobkyně trvá na tom, aby byly sloupky takto vybudované odstraněny a vráceny na místo sloupky původní. Žádá odvolací soud, aby jí zajistil ochranu před pokračováním zásahů na hranici mezi pozemky ze strany žalované a připomněl žalované, že nemůže rušit držbu odvolatelky a zasahovat do stávajícího oplocení i jinak, než je popsáno ve výroku I usnesení. Dále žádá, aby došlo k uvedení oplocení do původního stavu, jelikož došlo k vybudování sloupků záměrně jinde, než byly původní. Navrhla, aby odvolací soud napadené výroky změnil a žalobě v plném rozsahu vyhověl a žalovanou zavázal povinností nahradit žalobkyni náklady řízení před soudy obou stupňů.</w:t>
      </w:r>
    </w:p>
    <w:p w:rsidR="008C38B9" w:rsidRDefault="008C38B9" w:rsidP="008C38B9">
      <w:r w:rsidRPr="008C38B9">
        <w:t>3. Žalovaná podle obsahu uplatňuje odvolání proti výroku I, kterým žalobě bylo částečně vyhověno, a proti navazujícímu výroku o nákladech řízení. Znovu poukázala na ust. § 1008 odst. 1 občanského zákoníku týkající se lhůty k podání žaloby na ochranu držby a dovozuje, že před soudem prvního stupně jednoznačně označila důkazy, dle nichž žalobkyně se prokazatelně dozvěděla o ohrožení držby již dne 30. 7. 2018. K těmto důkazům však soud prvního stupně nepřihlédl, v důsledku čehož je řízení postiženo vadou, která měla za následek nesprávné rozhodnutí ve věci. Zdůraznila, že v daném případě nedošlo k narušení pokojného stavu, když oplocení zůstalo zachováno v původním rozsahu a vztyčením nových sloupků náhradou za staré k rušení držby žalobkyně nedošlo. Navrhla zamítnutí žaloby a přiznání náhrady nákladů řízení.</w:t>
      </w:r>
    </w:p>
    <w:p w:rsidR="008C38B9" w:rsidRDefault="008C38B9" w:rsidP="008C38B9">
      <w:r w:rsidRPr="008C38B9">
        <w:t>4. Ve vyjádření k odvolání žalobkyně žalovaná obsáhle popsala způsob nedobrého sousedského soužití mezi účastnicemi.</w:t>
      </w:r>
    </w:p>
    <w:p w:rsidR="008C38B9" w:rsidRDefault="008C38B9" w:rsidP="008C38B9">
      <w:r w:rsidRPr="008C38B9">
        <w:lastRenderedPageBreak/>
        <w:t>5. Žalobkyně vyjádření žalované označila za nepravdivé.</w:t>
      </w:r>
    </w:p>
    <w:p w:rsidR="008C38B9" w:rsidRDefault="008C38B9" w:rsidP="008C38B9">
      <w:r w:rsidRPr="008C38B9">
        <w:t>6. K odvolání žalobkyně a žalované odvolací soud přezkoumal usnesení soudu prvního stupně včetně řízení, které jeho vydání předcházelo, podle § 212 a § 212a o. s. ř. Přihlédl k obsahu odvolání obou účastnic a dospěl k závěru, že odvolání žalobkyně ani odvolání žalované ve své podstatě není možno považovat za důvodné.</w:t>
      </w:r>
    </w:p>
    <w:p w:rsidR="008C38B9" w:rsidRDefault="008C38B9" w:rsidP="008C38B9">
      <w:r w:rsidRPr="008C38B9">
        <w:t>7. Smyslem posesorní žaloby ve smyslu § 1003 a násl. občanského zákoníku je jen ochrana či obnovení posledního stavu držby. Soud tedy podle § 178 o. s. ř. v řízení zkoumá pouze existenci poslední držby a jejího svémocného rušení. Nejde totiž o ochranu subjektivních práv jako v případě žalob petitorních, ale o řízení o poskytnutí ochrany poslednímu faktickému stavu. Soud zjišťuje jen existenci držby a jejího rušení. Rozhodnutím o žalobě z rušené držby se poskytuje jen prozatímní ochrana poslednímu faktickému stavu.</w:t>
      </w:r>
    </w:p>
    <w:p w:rsidR="008C38B9" w:rsidRDefault="008C38B9" w:rsidP="008C38B9">
      <w:r w:rsidRPr="008C38B9">
        <w:t>8. Přestože soud v řízení o žalobě z rušené držby zjišťuje jen existenci držby a jejího rušení, může se žalovaný bránit i dalšími námitkami; především může namítat, že marně uběhla prekluzivní lhůta stanovená v § 1008 o. z. Žalovaný tedy může namítat, že na žalobcově straně nebyla dána držba nebo na jeho straně nebylo dáno svémocné rušení a že nastala prekluze. Jiné námitky především petitorního charakteru jsou v posesorním sporu vyloučeny.</w:t>
      </w:r>
    </w:p>
    <w:p w:rsidR="008C38B9" w:rsidRDefault="008C38B9" w:rsidP="008C38B9">
      <w:r w:rsidRPr="008C38B9">
        <w:t>9. Prvoinstanční soud věnoval věci náležitou pozornost a ze správně zjištěného skutkového stavu dospěl k právním závěrům, s nimiž se odvolací soud plně ztotožňuje.</w:t>
      </w:r>
    </w:p>
    <w:p w:rsidR="008C38B9" w:rsidRDefault="008C38B9" w:rsidP="008C38B9">
      <w:r w:rsidRPr="008C38B9">
        <w:t>10. Z důkazního řízení před soudem prvního stupně byla prokázána existence držby plotu ze strany žalobkyně nacházející se mezi označenými pozemky účastnic.</w:t>
      </w:r>
    </w:p>
    <w:p w:rsidR="008C38B9" w:rsidRDefault="008C38B9" w:rsidP="008C38B9">
      <w:r w:rsidRPr="008C38B9">
        <w:t>11. Je třeba přisvědčit soudu prvního stupně, že v řízení o žalobě z rušené držby se soud nezabývá tím, kdo je fakticky vlastníkem sporného plotu, ale pouze zkoumá existenci poslední držby a jejího svémocného rušení. Rovněž nelze zkoumat, zda plot je na hranici mezi pozemky žalobkyně a žalované, či zda zasahuje do pozemku žalobkyně mimo přípustnou toleranci. Pro přezkoumávanou žalobu je podstatný poslední stav držby. I z údajů samotné žalobkyně vyplývá, že umístění plotu je dlouhodobě neměnné.</w:t>
      </w:r>
    </w:p>
    <w:p w:rsidR="008C38B9" w:rsidRDefault="008C38B9" w:rsidP="008C38B9">
      <w:r w:rsidRPr="008C38B9">
        <w:t>12. Žalobkyně prokázala, že žalovaná její držbu plotu svémocně narušuje, pokud bez souhlasu žalobkyně odstraňuje staré sloupky oplocení, nahrazuje je sloupky novými a provádí obnovu plotu. Soud prvního stupně tak nepochybil, pokud výrokem I žalované uložil povinnost zdržet se rušení držby oplocení žalobkyně a v podstatě nepokračovat v obnově plotu.</w:t>
      </w:r>
    </w:p>
    <w:p w:rsidR="008C38B9" w:rsidRDefault="008C38B9" w:rsidP="008C38B9">
      <w:r w:rsidRPr="008C38B9">
        <w:t>13. Protože není možné uvést oplocení do předešlého zřejmě neutěšeného stavu a vrátit na místo původní odstraněné zrezivělé sloupky, soud prvního stupně správně v této části žalobu zamítl. Rovněž správně zamítl žalobu v části, v níž se žalobkyně domáhala uložení povinnosti žalované zdržet se rušení držby vstupem na pozemky žalobkyně, když takový způsob rušení držby aktuálně prokázán nebyl.</w:t>
      </w:r>
    </w:p>
    <w:p w:rsidR="008C38B9" w:rsidRDefault="008C38B9" w:rsidP="008C38B9">
      <w:r w:rsidRPr="008C38B9">
        <w:t>14. Prvoinstanční soud také správně posoudil, že žaloba na ochranu držby byla uplatněna před uplynutím prekluzivní lhůty vymezené § 1008 občanského zákoníku. V řízení bylo prokázáno, že žalobkyně dne 5. 8. 2019 zjistila odstranění dvou sloupků oplocení a dne 11. 9. 2019 zjistila vybudování dalších tří sloupků oplocení mezi pozemky účastnic. Pokud žalobu uplatnila 13. 9. 2019, učinila tak v zákonné lhůtě a k prekluzi jejího nároku nedošlo.</w:t>
      </w:r>
    </w:p>
    <w:p w:rsidR="008C38B9" w:rsidRDefault="008C38B9" w:rsidP="008C38B9">
      <w:r w:rsidRPr="008C38B9">
        <w:t>15. Pokud žalovaná vychází ze závěru, že o obnově plotu mezi pozemky účastnic ze strany žalobkyně se žalovaná dozvěděla již při místním šetření dne 30. 7. 2018, pak nelze přehlédnout, že se jednalo o šetření týkající se obnovy plotu mezi pozemky žalované a jiného vlastníka sousedních pozemků na severní straně zahrady žalované.</w:t>
      </w:r>
    </w:p>
    <w:p w:rsidR="008C38B9" w:rsidRDefault="008C38B9" w:rsidP="008C38B9">
      <w:r w:rsidRPr="008C38B9">
        <w:lastRenderedPageBreak/>
        <w:t>16. Vzhledem ke všem shora uvedeným skutečnostem odvolací soud usnesení soudu prvního stupně jako věcně správné potvrdil, a to včetně zákonu odpovídajícímu výroku o nákladech řízení.</w:t>
      </w:r>
    </w:p>
    <w:p w:rsidR="00F11093" w:rsidRPr="008C38B9" w:rsidRDefault="008C38B9" w:rsidP="008C38B9">
      <w:pPr>
        <w:jc w:val="left"/>
      </w:pPr>
      <w:r w:rsidRPr="008C38B9">
        <w:t>17. O nákladech odvolacího řízení bylo rozhodnuto dle § 224 o. s. ř. a § 142 odst. 2 o. s. ř. tak, že na jejich náhradu nemá žádný z účastníků právo, když každá z účastnic byla v řízení pouze částečně úspěšná.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Default="008C38B9" w:rsidP="008C38B9">
      <w:pPr>
        <w:jc w:val="left"/>
      </w:pPr>
      <w:r w:rsidRPr="008C38B9">
        <w:t>Proti tomuto usnesení není dovolání přípustné.</w:t>
      </w:r>
    </w:p>
    <w:p w:rsidR="008C38B9" w:rsidRDefault="008C38B9" w:rsidP="008C38B9">
      <w:pPr>
        <w:jc w:val="left"/>
      </w:pPr>
    </w:p>
    <w:p w:rsidR="008C38B9" w:rsidRPr="008C38B9" w:rsidRDefault="008C38B9" w:rsidP="008C38B9">
      <w:pPr>
        <w:jc w:val="left"/>
      </w:pPr>
    </w:p>
    <w:p w:rsidR="008C38B9" w:rsidRDefault="008C38B9" w:rsidP="008C38B9">
      <w:pPr>
        <w:spacing w:after="0"/>
        <w:jc w:val="left"/>
        <w:rPr>
          <w:rFonts w:eastAsia="Calibri" w:cs="Garamond"/>
          <w:szCs w:val="24"/>
        </w:rPr>
      </w:pPr>
      <w:r>
        <w:rPr>
          <w:rFonts w:eastAsia="Calibri" w:cs="Garamond"/>
          <w:szCs w:val="24"/>
        </w:rPr>
        <w:t>Plzeň 29. července 2020</w:t>
      </w:r>
    </w:p>
    <w:p w:rsidR="008C38B9" w:rsidRDefault="008C38B9" w:rsidP="008C38B9">
      <w:pPr>
        <w:spacing w:after="0"/>
        <w:jc w:val="left"/>
        <w:rPr>
          <w:rFonts w:eastAsia="Calibri" w:cs="Garamond"/>
          <w:szCs w:val="24"/>
        </w:rPr>
      </w:pPr>
    </w:p>
    <w:p w:rsidR="008C38B9" w:rsidRDefault="008C38B9" w:rsidP="008C38B9">
      <w:pPr>
        <w:spacing w:after="0"/>
        <w:jc w:val="left"/>
        <w:rPr>
          <w:rFonts w:eastAsia="Calibri" w:cs="Garamond"/>
          <w:szCs w:val="24"/>
        </w:rPr>
      </w:pPr>
    </w:p>
    <w:p w:rsidR="008C38B9" w:rsidRDefault="008C38B9" w:rsidP="008C38B9">
      <w:pPr>
        <w:spacing w:after="0"/>
        <w:jc w:val="left"/>
        <w:rPr>
          <w:rFonts w:eastAsia="Calibri" w:cs="Garamond"/>
          <w:szCs w:val="24"/>
        </w:rPr>
      </w:pPr>
      <w:r>
        <w:rPr>
          <w:rFonts w:eastAsia="Calibri" w:cs="Garamond"/>
          <w:szCs w:val="24"/>
        </w:rPr>
        <w:t>JUDr. Zdeněk Jeřábek</w:t>
      </w:r>
    </w:p>
    <w:p w:rsidR="008C38B9" w:rsidRDefault="008C38B9" w:rsidP="008C38B9">
      <w:pPr>
        <w:spacing w:after="0"/>
        <w:jc w:val="left"/>
        <w:rPr>
          <w:rFonts w:eastAsia="Calibri" w:cs="Garamond"/>
          <w:szCs w:val="24"/>
        </w:rPr>
      </w:pPr>
      <w:r>
        <w:rPr>
          <w:rFonts w:eastAsia="Calibri" w:cs="Garamond"/>
          <w:szCs w:val="24"/>
        </w:rPr>
        <w:t>předseda senátu</w:t>
      </w:r>
      <w:bookmarkStart w:id="0" w:name="_GoBack"/>
      <w:bookmarkEnd w:id="0"/>
    </w:p>
    <w:sectPr w:rsidR="008C38B9" w:rsidSect="00B8311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82" w:rsidRDefault="008D4882" w:rsidP="00B83118">
      <w:pPr>
        <w:spacing w:after="0"/>
      </w:pPr>
      <w:r>
        <w:separator/>
      </w:r>
    </w:p>
  </w:endnote>
  <w:endnote w:type="continuationSeparator" w:id="0">
    <w:p w:rsidR="008D4882" w:rsidRDefault="008D488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82" w:rsidRDefault="008D4882" w:rsidP="00B83118">
      <w:pPr>
        <w:spacing w:after="0"/>
      </w:pPr>
      <w:r>
        <w:separator/>
      </w:r>
    </w:p>
  </w:footnote>
  <w:footnote w:type="continuationSeparator" w:id="0">
    <w:p w:rsidR="008D4882" w:rsidRDefault="008D488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C38B9">
      <w:rPr>
        <w:noProof/>
      </w:rPr>
      <w:t>2</w:t>
    </w:r>
    <w:r>
      <w:fldChar w:fldCharType="end"/>
    </w:r>
    <w:r>
      <w:tab/>
    </w:r>
    <w:r w:rsidR="008C38B9">
      <w:t>18 Co 39/2020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8C38B9">
      <w:t>18 Co 39/2020- 104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C38B9"/>
    <w:rsid w:val="008D252B"/>
    <w:rsid w:val="008D4882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82F4"/>
  <w15:docId w15:val="{374EF903-FB23-4BE1-BA26-1F07CB9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1629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2021-06-04T11:01:00Z</dcterms:created>
  <dcterms:modified xsi:type="dcterms:W3CDTF">2021-06-04T11:06:00Z</dcterms:modified>
</cp:coreProperties>
</file>