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r w:rsidR="00CE5579" w:rsidRPr="0066711D">
        <w:rPr>
          <w:rFonts w:ascii="Garamond" w:hAnsi="Garamond"/>
          <w:sz w:val="24"/>
          <w:szCs w:val="24"/>
        </w:rPr>
        <w:t xml:space="preserve">Spr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F63D1C" w:rsidRPr="007450EA" w:rsidRDefault="00DD2732" w:rsidP="00DD2732">
      <w:pPr>
        <w:spacing w:after="0"/>
        <w:rPr>
          <w:rFonts w:ascii="Garamond" w:hAnsi="Garamond"/>
          <w:b/>
          <w:color w:val="FF0000"/>
          <w:sz w:val="24"/>
          <w:szCs w:val="24"/>
        </w:rPr>
      </w:pPr>
      <w:r w:rsidRPr="007450EA">
        <w:rPr>
          <w:rFonts w:ascii="Garamond" w:hAnsi="Garamond"/>
          <w:b/>
          <w:color w:val="FF0000"/>
          <w:sz w:val="24"/>
          <w:szCs w:val="24"/>
        </w:rPr>
        <w:t>s vyznačením změn k</w:t>
      </w:r>
      <w:r w:rsidR="007C49A2" w:rsidRPr="007450EA">
        <w:rPr>
          <w:rFonts w:ascii="Garamond" w:hAnsi="Garamond"/>
          <w:b/>
          <w:color w:val="FF0000"/>
          <w:sz w:val="24"/>
          <w:szCs w:val="24"/>
        </w:rPr>
        <w:t> 30. 4. 2021</w:t>
      </w:r>
      <w:r w:rsidR="00630EEA">
        <w:rPr>
          <w:rFonts w:ascii="Garamond" w:hAnsi="Garamond"/>
          <w:b/>
          <w:color w:val="FF0000"/>
          <w:sz w:val="24"/>
          <w:szCs w:val="24"/>
        </w:rPr>
        <w:t xml:space="preserve"> – 0 Spr 763/2021</w:t>
      </w:r>
      <w:bookmarkStart w:id="0" w:name="_GoBack"/>
      <w:bookmarkEnd w:id="0"/>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Nc,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r w:rsidR="00101482" w:rsidRPr="0066711D">
        <w:rPr>
          <w:rFonts w:ascii="Garamond" w:hAnsi="Garamond"/>
          <w:sz w:val="24"/>
          <w:szCs w:val="24"/>
        </w:rPr>
        <w:t xml:space="preserve">Tm, </w:t>
      </w:r>
      <w:r w:rsidR="00EF4C14" w:rsidRPr="0066711D">
        <w:rPr>
          <w:rFonts w:ascii="Garamond" w:hAnsi="Garamond"/>
          <w:sz w:val="24"/>
          <w:szCs w:val="24"/>
        </w:rPr>
        <w:t>PP</w:t>
      </w:r>
      <w:r w:rsidR="00102FAD" w:rsidRPr="0066711D">
        <w:rPr>
          <w:rFonts w:ascii="Garamond" w:hAnsi="Garamond"/>
          <w:sz w:val="24"/>
          <w:szCs w:val="24"/>
        </w:rPr>
        <w:t>, Nt</w:t>
      </w:r>
      <w:r w:rsidR="00A5215A" w:rsidRPr="0066711D">
        <w:rPr>
          <w:rFonts w:ascii="Garamond" w:hAnsi="Garamond"/>
          <w:sz w:val="24"/>
          <w:szCs w:val="24"/>
        </w:rPr>
        <w:t xml:space="preserve">, </w:t>
      </w:r>
      <w:r w:rsidR="00101482" w:rsidRPr="0066711D">
        <w:rPr>
          <w:rFonts w:ascii="Garamond" w:hAnsi="Garamond"/>
          <w:sz w:val="24"/>
          <w:szCs w:val="24"/>
        </w:rPr>
        <w:t xml:space="preserve">Ntm, </w:t>
      </w:r>
      <w:r w:rsidR="00A5215A" w:rsidRPr="0066711D">
        <w:rPr>
          <w:rFonts w:ascii="Garamond" w:hAnsi="Garamond"/>
          <w:sz w:val="24"/>
          <w:szCs w:val="24"/>
        </w:rPr>
        <w:t>Td</w:t>
      </w:r>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r w:rsidR="001C1305" w:rsidRPr="0066711D">
        <w:rPr>
          <w:rFonts w:ascii="Garamond" w:hAnsi="Garamond"/>
          <w:b/>
          <w:sz w:val="36"/>
          <w:szCs w:val="24"/>
        </w:rPr>
        <w:t>Tm,</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r w:rsidR="00B75436" w:rsidRPr="0066711D">
        <w:rPr>
          <w:rFonts w:ascii="Garamond" w:hAnsi="Garamond"/>
          <w:b/>
          <w:sz w:val="36"/>
          <w:szCs w:val="24"/>
        </w:rPr>
        <w:t>Nt</w:t>
      </w:r>
      <w:r w:rsidR="009B32AF" w:rsidRPr="0066711D">
        <w:rPr>
          <w:rFonts w:ascii="Garamond" w:hAnsi="Garamond"/>
          <w:b/>
          <w:sz w:val="36"/>
          <w:szCs w:val="24"/>
        </w:rPr>
        <w:t xml:space="preserve">, </w:t>
      </w:r>
      <w:r w:rsidR="00DE16A6" w:rsidRPr="0066711D">
        <w:rPr>
          <w:rFonts w:ascii="Garamond" w:hAnsi="Garamond"/>
          <w:b/>
          <w:sz w:val="36"/>
          <w:szCs w:val="24"/>
        </w:rPr>
        <w:t xml:space="preserve">Ntm, </w:t>
      </w:r>
      <w:r w:rsidR="009B32AF" w:rsidRPr="0066711D">
        <w:rPr>
          <w:rFonts w:ascii="Garamond" w:hAnsi="Garamond"/>
          <w:b/>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Schromm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Jaroslava Jabornická-Remetová</w:t>
            </w:r>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Mgr. Blanka Puflerová</w:t>
            </w: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(Jaroslava Jabornická-Remetová)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příslušníky Vězeňské služby ČR a tr.</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179b), 314b) tr.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 Piela</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Miroslava Jurcsiková</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Mgr. Blanka Puflerová</w:t>
            </w:r>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Bc. Věra Klimčuková</w:t>
            </w:r>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Jitka Brizgalová</w:t>
            </w:r>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Pavel Hadáček</w:t>
            </w:r>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BF0BFB"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svobody </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b)</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(s výjimkou cizinců - státních příslušníků Slovenské republiky)</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c)</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40</w:t>
            </w:r>
            <w:r w:rsidR="00C558A7" w:rsidRPr="00BF0BFB">
              <w:rPr>
                <w:rFonts w:ascii="Garamond" w:eastAsia="Times New Roman" w:hAnsi="Garamond" w:cs="Arial"/>
                <w:sz w:val="24"/>
                <w:szCs w:val="24"/>
              </w:rPr>
              <w:t xml:space="preserve"> </w:t>
            </w:r>
            <w:r w:rsidRPr="00BF0BFB">
              <w:rPr>
                <w:rFonts w:ascii="Garamond" w:eastAsia="Times New Roman" w:hAnsi="Garamond" w:cs="Arial"/>
                <w:bCs/>
                <w:sz w:val="24"/>
                <w:szCs w:val="24"/>
              </w:rPr>
              <w:t>% nápadu věcí T obsáhlých (včetně obžaloby 300 stran)</w:t>
            </w:r>
            <w:r w:rsidR="00A02E47" w:rsidRPr="00BF0BFB">
              <w:rPr>
                <w:rFonts w:ascii="Garamond" w:eastAsia="Times New Roman" w:hAnsi="Garamond" w:cs="Arial"/>
                <w:bCs/>
                <w:sz w:val="24"/>
                <w:szCs w:val="24"/>
              </w:rPr>
              <w:t xml:space="preserve"> </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d)</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 xml:space="preserve">40 </w:t>
            </w:r>
            <w:r w:rsidRPr="00BF0BFB">
              <w:rPr>
                <w:rFonts w:ascii="Garamond" w:eastAsia="Times New Roman" w:hAnsi="Garamond" w:cs="Arial"/>
                <w:bCs/>
                <w:sz w:val="24"/>
                <w:szCs w:val="24"/>
              </w:rPr>
              <w:t>% nápadu věcí T skupinových (3 a více obviněných)</w:t>
            </w:r>
            <w:r w:rsidR="00A02E47" w:rsidRPr="00BF0BFB">
              <w:rPr>
                <w:rFonts w:ascii="Garamond" w:eastAsia="Times New Roman" w:hAnsi="Garamond" w:cs="Arial"/>
                <w:bCs/>
                <w:sz w:val="24"/>
                <w:szCs w:val="24"/>
              </w:rPr>
              <w:t xml:space="preserve"> </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e)</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 státních příslušníků Slovenské republiky</w:t>
            </w:r>
            <w:r w:rsidR="00A02E47" w:rsidRPr="00BF0BFB">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179b), 314b) tr. řádu,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 Grochal</w:t>
            </w:r>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 Blanka Puflerová)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179b), 314b) tr.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Ing. Leona Bernáthová</w:t>
            </w:r>
          </w:p>
          <w:p w:rsidR="00417427" w:rsidRPr="00387DC9"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87DC9">
              <w:rPr>
                <w:rFonts w:ascii="Garamond" w:eastAsia="Times New Roman" w:hAnsi="Garamond" w:cs="Arial"/>
                <w:b/>
              </w:rPr>
              <w:t>Mgr. Eva Vnučková</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(Jaroslava Jabornická-Remetová)</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179b), 314b) tr.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Irena Chuderáková</w:t>
            </w:r>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Marie Tonnerová</w:t>
            </w:r>
          </w:p>
          <w:p w:rsidR="00387DC9" w:rsidRPr="00387DC9" w:rsidRDefault="00387DC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Anna Shonová-Smoligová</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179b), 314b) tr.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Tonnerová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Věra Krumlíková</w:t>
            </w:r>
          </w:p>
          <w:p w:rsidR="00387DC9" w:rsidRPr="0090032A"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žádosti a návrhy na podmíněné propuštění z výkonu trestu odnětí svobody v souvislosti s výkonem trestu ve věznici Kynšperk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věci T silniční, důlní, železniční, říční a letecké dopravy (včetně tr. činů dle § 274 odst. 2a) tr. zákoníku) a trestné činy korespondující podle tr.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A02E47"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456365"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Tm do senátu 24Tm</w:t>
      </w:r>
      <w:r w:rsidR="004A1DD4">
        <w:rPr>
          <w:rFonts w:ascii="Garamond" w:hAnsi="Garamond" w:cs="Arial"/>
          <w:sz w:val="24"/>
          <w:szCs w:val="24"/>
        </w:rPr>
        <w:t>.</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včetně specializací do senátu 6T v rozsahu 40 %</w:t>
      </w:r>
      <w:r w:rsidR="00BF0BFB">
        <w:rPr>
          <w:rFonts w:ascii="Garamond" w:hAnsi="Garamond" w:cs="Arial"/>
          <w:color w:val="000000" w:themeColor="text1"/>
          <w:sz w:val="24"/>
          <w:szCs w:val="24"/>
        </w:rPr>
        <w:t xml:space="preserve">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2012 senát 5T neobsazen, porozsudkovou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Siegel,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Tm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Věci senátu 4Tm obživlé z důvodu opětovného podání obžaloby či návrhu na potrestání státním zástupcem budou přiděleny k vyřízení JUDr. Siegelové.</w:t>
      </w:r>
      <w:r w:rsidR="00E857F9" w:rsidRPr="0066711D">
        <w:rPr>
          <w:rFonts w:ascii="Garamond" w:hAnsi="Garamond" w:cs="Arial"/>
          <w:sz w:val="24"/>
          <w:szCs w:val="24"/>
        </w:rPr>
        <w:t xml:space="preserve"> V případě nápadu věci Tm, v níž vystupuje v procesním postavení obhájce, zmocněnec či opatrovníka advokát JUDr. František Siegel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Nt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333b tr. řádu</w:t>
      </w:r>
      <w:r w:rsidR="00A63533" w:rsidRPr="0066711D">
        <w:rPr>
          <w:rFonts w:ascii="Garamond" w:hAnsi="Garamond" w:cs="Arial"/>
          <w:sz w:val="24"/>
          <w:szCs w:val="24"/>
        </w:rPr>
        <w:t>)</w:t>
      </w:r>
      <w:r w:rsidRPr="0066711D">
        <w:rPr>
          <w:rFonts w:ascii="Garamond" w:hAnsi="Garamond" w:cs="Arial"/>
          <w:sz w:val="24"/>
          <w:szCs w:val="24"/>
        </w:rPr>
        <w:t>, podněty k řízení o podmíněné propuštění a rozhodování o společném způsobu výkonu trestu (§ 320/3 tr.ř.), o změně způsobu výkonu trestu (§ 324 tr.</w:t>
      </w:r>
      <w:r w:rsidR="00A63533" w:rsidRPr="0066711D">
        <w:rPr>
          <w:rFonts w:ascii="Garamond" w:hAnsi="Garamond" w:cs="Arial"/>
          <w:sz w:val="24"/>
          <w:szCs w:val="24"/>
        </w:rPr>
        <w:t xml:space="preserve"> </w:t>
      </w:r>
      <w:r w:rsidRPr="0066711D">
        <w:rPr>
          <w:rFonts w:ascii="Garamond" w:hAnsi="Garamond" w:cs="Arial"/>
          <w:sz w:val="24"/>
          <w:szCs w:val="24"/>
        </w:rPr>
        <w:t>řádu), přerušení výkonu trestu (§ 325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4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Kynšperk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z jiné věznice než Horní Slavkov, Kynšperk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Nt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Věci Nt cizinců a Nt s cizím prvkem (</w:t>
      </w:r>
      <w:r w:rsidR="00D13AF8" w:rsidRPr="0066711D">
        <w:rPr>
          <w:rFonts w:ascii="Garamond" w:hAnsi="Garamond" w:cs="Arial"/>
          <w:sz w:val="24"/>
          <w:szCs w:val="24"/>
        </w:rPr>
        <w:t xml:space="preserve">kromě věcí Nt cizinců – státních příslušníků SR a </w:t>
      </w:r>
      <w:r w:rsidR="00F566D1" w:rsidRPr="0066711D">
        <w:rPr>
          <w:rFonts w:ascii="Garamond" w:hAnsi="Garamond" w:cs="Arial"/>
          <w:sz w:val="24"/>
          <w:szCs w:val="24"/>
        </w:rPr>
        <w:t>kromě věcí Nt - přípravné řízení a věcí Nt souvisejících s rozhodovací činností ve věznici Horní Slavkov</w:t>
      </w:r>
      <w:r w:rsidR="00A53D2E" w:rsidRPr="0066711D">
        <w:rPr>
          <w:rFonts w:ascii="Garamond" w:hAnsi="Garamond" w:cs="Arial"/>
          <w:sz w:val="24"/>
          <w:szCs w:val="24"/>
        </w:rPr>
        <w:t xml:space="preserve"> a </w:t>
      </w:r>
      <w:r w:rsidR="00F566D1" w:rsidRPr="0066711D">
        <w:rPr>
          <w:rFonts w:ascii="Garamond" w:hAnsi="Garamond" w:cs="Arial"/>
          <w:sz w:val="24"/>
          <w:szCs w:val="24"/>
        </w:rPr>
        <w:t xml:space="preserve">Kynšperk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Nt - ochranné léčení = uložení a výkon ochranného léčení a zabezpečovací detence </w:t>
      </w:r>
      <w:r w:rsidR="000B7E83" w:rsidRPr="0066711D">
        <w:rPr>
          <w:rFonts w:ascii="Garamond" w:hAnsi="Garamond" w:cs="Arial"/>
          <w:sz w:val="24"/>
          <w:szCs w:val="24"/>
        </w:rPr>
        <w:t xml:space="preserve">a Nt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Nt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Kynšperk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z jiné věznice než Horní Slavkov, Kynšperk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Nt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Nt,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tr. zákoníku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Kynšperk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Rt a Ntr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nařízení soudu vyššího stupně, aby byla věc projednána a rozhodnuta v jiném složení senátu dle § 262 tr.</w:t>
      </w:r>
      <w:r w:rsidR="004E4529" w:rsidRPr="0066711D">
        <w:rPr>
          <w:rFonts w:ascii="Garamond" w:hAnsi="Garamond" w:cs="Arial"/>
          <w:sz w:val="24"/>
          <w:szCs w:val="24"/>
        </w:rPr>
        <w:t xml:space="preserve"> </w:t>
      </w:r>
      <w:r w:rsidR="00143450" w:rsidRPr="0066711D">
        <w:rPr>
          <w:rFonts w:ascii="Garamond" w:hAnsi="Garamond" w:cs="Arial"/>
          <w:sz w:val="24"/>
          <w:szCs w:val="24"/>
        </w:rPr>
        <w:t>řádu,</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tr.</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 xml:space="preserve">svědka nebo v rekognici)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2 tr. řádu, ve věcech Nt,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stanovení § 30 odst. 2 tr.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V případě, že osoba vykonává trest odnětí svobody ve věznici Kynšperk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mundační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přípr.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40a), § 44 odst. 2, § 51 a) odst. 1, § 68, § 69 odst. 1, § 72 odst. 1 - § 146 a) odst. 1 písm. a), § 74 a) odst. 1, § 77, § 83 odst. 1, § 87 odst. 1, § 87 a) odst. 1, § 88 odst. 1,  § 88 a) odst. 1,  § 116/2, § 146a) odst. 1,2, § 158 a), § 158d) odst. 3, § 179 b), § 314 b) tr. řádu),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podněty k podmíněnému propuštění, společný způsob výkonu postupně uložených trestů (§ 320 odst. 3 tr. řádu), změna způsobu výkonu trestu ( § 324 tr.</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/1993 Sb., a rejstříky Rt a Ntr</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oddělení PP a Nt. Zajišťuje úkoly uvedené v ust.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ust.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mundační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 Instrukce MSp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metodika pro vyšší soudní úředníky a soudní tajemníky Instrukce MSp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Schromm </w:t>
            </w:r>
          </w:p>
          <w:p w:rsidR="00A02E47" w:rsidRPr="0066711D" w:rsidRDefault="00A02E47"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Josef Zeman</w:t>
            </w:r>
          </w:p>
          <w:p w:rsidR="00CC4A3B" w:rsidRPr="0066711D" w:rsidRDefault="00CC4A3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(Jaroslav Grochal)</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Anna Shonová-Smoligová</w:t>
            </w:r>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Anna Shonová-Smoligová</w:t>
            </w:r>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(Jaroslav Grochal)</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 xml:space="preserve">a) </w:t>
            </w:r>
            <w:r w:rsidRPr="00F63D1C">
              <w:rPr>
                <w:rFonts w:ascii="Garamond" w:eastAsia="Times New Roman" w:hAnsi="Garamond" w:cs="Arial"/>
                <w:sz w:val="24"/>
                <w:szCs w:val="24"/>
              </w:rPr>
              <w:t xml:space="preserve"> - 50 % nápadu všeobecných občanskoprávních věcí s výjimkou specializované agendy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pracovních věcí;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věcí manželských a rodinných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b)</w:t>
            </w:r>
            <w:r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c)</w:t>
            </w:r>
            <w:r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d</w:t>
            </w:r>
            <w:r w:rsidRPr="00F63D1C">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Mgr. Katarína Schromm</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Brizgalová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Irena Chuderáková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Ing. Pavel Hadáček</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František Sedláček</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Radka Čepická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Martina Burachovičová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Ivana Hovorková</w:t>
            </w: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Bc. Věra Klimčuková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Chuderáková)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2016 a ve smyslu ust.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Všechny věci, které se zapisují do občanskoprávních a všeobecných oddílů rejstříku Nc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Mgr. Lenka Pokorná, JUDr. Jaroslav Simet, </w:t>
      </w:r>
      <w:r w:rsidR="00882B54" w:rsidRPr="00F63D1C">
        <w:rPr>
          <w:rFonts w:ascii="Garamond" w:hAnsi="Garamond" w:cs="Arial"/>
          <w:sz w:val="24"/>
          <w:szCs w:val="24"/>
        </w:rPr>
        <w:t xml:space="preserve">Mgr. Alžběta Durdová, </w:t>
      </w:r>
      <w:r w:rsidR="00D526C6" w:rsidRPr="00F63D1C">
        <w:rPr>
          <w:rFonts w:ascii="Garamond" w:hAnsi="Garamond" w:cs="Arial"/>
          <w:sz w:val="24"/>
          <w:szCs w:val="24"/>
        </w:rPr>
        <w:t xml:space="preserve">Mgr. František Sedláček, </w:t>
      </w:r>
      <w:r w:rsidR="009007B3" w:rsidRPr="00F63D1C">
        <w:rPr>
          <w:rFonts w:ascii="Garamond" w:hAnsi="Garamond" w:cs="Arial"/>
          <w:sz w:val="24"/>
          <w:szCs w:val="24"/>
        </w:rPr>
        <w:t>Mgr. Radka Čepická</w:t>
      </w:r>
      <w:r w:rsidR="008A7D9D" w:rsidRPr="00F63D1C">
        <w:rPr>
          <w:rFonts w:ascii="Garamond" w:hAnsi="Garamond" w:cs="Arial"/>
          <w:sz w:val="24"/>
          <w:szCs w:val="24"/>
        </w:rPr>
        <w:t xml:space="preserve"> 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w:t>
      </w:r>
      <w:r w:rsidR="004D0443" w:rsidRPr="00F63D1C">
        <w:rPr>
          <w:rFonts w:ascii="Garamond" w:hAnsi="Garamond" w:cs="Arial"/>
          <w:sz w:val="24"/>
          <w:szCs w:val="24"/>
        </w:rPr>
        <w:t xml:space="preserve">František Sedláček, JUDr. Jaroslav Simet, Mgr. Lenka Pokorná, 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F63D1C"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 xml:space="preserve">22C, </w:t>
      </w:r>
      <w:r w:rsidR="005C74C8" w:rsidRPr="00F63D1C">
        <w:rPr>
          <w:rFonts w:ascii="Garamond" w:hAnsi="Garamond" w:cs="Arial"/>
          <w:sz w:val="24"/>
          <w:szCs w:val="24"/>
        </w:rPr>
        <w:t>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Věci JUDr. Ondřeje Szalonnáse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673A62" w:rsidRPr="0066711D" w:rsidRDefault="00F63D1C" w:rsidP="000A0769">
      <w:pPr>
        <w:spacing w:after="0"/>
        <w:ind w:left="1077" w:hanging="368"/>
        <w:contextualSpacing/>
        <w:jc w:val="both"/>
        <w:rPr>
          <w:rFonts w:ascii="Garamond" w:hAnsi="Garamond"/>
          <w:sz w:val="24"/>
          <w:szCs w:val="24"/>
        </w:rPr>
      </w:pPr>
      <w:r>
        <w:rPr>
          <w:rFonts w:ascii="Garamond" w:hAnsi="Garamond"/>
          <w:b/>
          <w:sz w:val="24"/>
          <w:szCs w:val="24"/>
        </w:rPr>
        <w:t>17</w:t>
      </w:r>
      <w:r w:rsidR="00C918A9" w:rsidRPr="00C918A9">
        <w:rPr>
          <w:rFonts w:ascii="Garamond" w:hAnsi="Garamond"/>
          <w:b/>
          <w:sz w:val="24"/>
          <w:szCs w:val="24"/>
        </w:rPr>
        <w:t>)</w:t>
      </w:r>
      <w:r w:rsidR="00C918A9">
        <w:rPr>
          <w:rFonts w:ascii="Garamond" w:hAnsi="Garamond"/>
          <w:b/>
          <w:sz w:val="24"/>
          <w:szCs w:val="24"/>
        </w:rPr>
        <w:tab/>
      </w:r>
      <w:r w:rsidR="00673A62" w:rsidRPr="0066711D">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w:t>
      </w:r>
      <w:r w:rsidR="00673A62" w:rsidRPr="00F63D1C">
        <w:rPr>
          <w:rFonts w:ascii="Garamond" w:hAnsi="Garamond"/>
          <w:sz w:val="24"/>
          <w:szCs w:val="24"/>
        </w:rPr>
        <w:t xml:space="preserve">10C, 11C, </w:t>
      </w:r>
      <w:r w:rsidR="00882B54" w:rsidRPr="00F63D1C">
        <w:rPr>
          <w:rFonts w:ascii="Garamond" w:hAnsi="Garamond" w:cs="Arial"/>
          <w:sz w:val="24"/>
          <w:szCs w:val="24"/>
        </w:rPr>
        <w:t xml:space="preserve">22C, </w:t>
      </w:r>
      <w:r w:rsidR="00673A62" w:rsidRPr="00F63D1C">
        <w:rPr>
          <w:rFonts w:ascii="Garamond" w:hAnsi="Garamond"/>
          <w:sz w:val="24"/>
          <w:szCs w:val="24"/>
        </w:rPr>
        <w:t>23C, 33C</w:t>
      </w:r>
      <w:r w:rsidR="00673A62" w:rsidRPr="0066711D">
        <w:rPr>
          <w:rFonts w:ascii="Garamond" w:hAnsi="Garamond"/>
          <w:sz w:val="24"/>
          <w:szCs w:val="24"/>
        </w:rPr>
        <w:t>.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Věci JUDr. Milana Tatára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Tatárovi.</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ním právních mocí dle § 23 j.ř.</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ním právních mocí dle § 23 j.ř.</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porozsudkové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ním právních mocí dle § 23 j.ř.</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bez pověření předsedou senátu provádí úkony podle § 19a a násl. Instrukce MSp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j.ř.</w:t>
      </w:r>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(zastupuje – 8C, 8EC, 33C, 33EVC a 11 Nc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ěznici Kynšperk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r w:rsidR="006E447D" w:rsidRPr="0066711D">
        <w:rPr>
          <w:rFonts w:ascii="Garamond" w:hAnsi="Garamond"/>
          <w:b/>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Sd,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Sd vyjma Sd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(Sd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r w:rsidRPr="0066711D">
        <w:rPr>
          <w:rFonts w:ascii="Garamond" w:hAnsi="Garamond"/>
          <w:sz w:val="24"/>
          <w:szCs w:val="24"/>
        </w:rPr>
        <w:t>Sd,</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Nc</w:t>
      </w:r>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e věcech D, Nc (pozůstalostní oddíly), Sd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ním právních mocí dle § 23 j.ř.</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66711D" w:rsidRDefault="007C49A2" w:rsidP="007C49A2">
      <w:pPr>
        <w:tabs>
          <w:tab w:val="left" w:pos="-993"/>
          <w:tab w:val="left" w:pos="1418"/>
        </w:tabs>
        <w:spacing w:after="0"/>
        <w:ind w:left="1418"/>
        <w:rPr>
          <w:rFonts w:ascii="Garamond" w:hAnsi="Garamond"/>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7C49A2">
        <w:rPr>
          <w:rFonts w:ascii="Garamond" w:hAnsi="Garamond"/>
          <w:color w:val="FF0000"/>
          <w:sz w:val="24"/>
          <w:szCs w:val="24"/>
        </w:rPr>
        <w:t>z důvodu odvolání ministryní spravedlnosti k 31. 7. 2021 pozastaven nápad s účinností od 30. 4. 2021</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A84DDD" w:rsidRPr="007C49A2" w:rsidRDefault="00A84DDD" w:rsidP="00E60383">
      <w:pPr>
        <w:tabs>
          <w:tab w:val="left" w:pos="-993"/>
          <w:tab w:val="left" w:pos="1418"/>
          <w:tab w:val="left" w:pos="1701"/>
        </w:tabs>
        <w:spacing w:after="0"/>
        <w:jc w:val="both"/>
        <w:rPr>
          <w:rFonts w:ascii="Garamond" w:hAnsi="Garamond" w:cs="Arial"/>
          <w:strike/>
          <w:color w:val="FF0000"/>
          <w:sz w:val="24"/>
          <w:szCs w:val="24"/>
        </w:rPr>
      </w:pPr>
      <w:r w:rsidRPr="007C49A2">
        <w:rPr>
          <w:rFonts w:ascii="Garamond" w:hAnsi="Garamond" w:cs="Arial"/>
          <w:strike/>
          <w:color w:val="FF0000"/>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7C49A2" w:rsidRPr="007C49A2" w:rsidRDefault="007C49A2" w:rsidP="007C49A2">
      <w:pPr>
        <w:jc w:val="both"/>
        <w:rPr>
          <w:rFonts w:ascii="Garamond" w:hAnsi="Garamond"/>
          <w:color w:val="FF0000"/>
          <w:sz w:val="24"/>
          <w:szCs w:val="24"/>
        </w:rPr>
      </w:pPr>
      <w:r w:rsidRPr="007C49A2">
        <w:rPr>
          <w:rFonts w:ascii="Garamond" w:hAnsi="Garamond"/>
          <w:color w:val="FF0000"/>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Semanikovi v abecedním pořadí jejich příjmení, počínaje soudním komisařem, který podle tohoto pořadí následuje za soudním komisařem, který byl naposledy soudem pověřen tak, že Mgr. Viktoru Semanikovi přidělí vždy dva spisy a JUDr. Danuši Svobodové přidělí vždy jeden spis.</w:t>
      </w:r>
    </w:p>
    <w:p w:rsidR="00A84DDD" w:rsidRDefault="00A84DDD" w:rsidP="007C49A2">
      <w:pPr>
        <w:tabs>
          <w:tab w:val="left" w:pos="-993"/>
          <w:tab w:val="left" w:pos="1418"/>
          <w:tab w:val="left" w:pos="1701"/>
        </w:tabs>
        <w:spacing w:after="100" w:afterAutospacing="1"/>
        <w:jc w:val="both"/>
        <w:rPr>
          <w:rFonts w:ascii="Garamond" w:hAnsi="Garamond"/>
          <w:color w:val="FF0000"/>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 xml:space="preserve">1993 nebo </w:t>
      </w:r>
      <w:r w:rsidRPr="007C49A2">
        <w:rPr>
          <w:rFonts w:ascii="Garamond" w:hAnsi="Garamond" w:cs="Arial"/>
          <w:sz w:val="24"/>
          <w:szCs w:val="24"/>
        </w:rPr>
        <w:t>jeho nástupce.</w:t>
      </w:r>
      <w:r w:rsidR="007C49A2" w:rsidRPr="007C49A2">
        <w:rPr>
          <w:rFonts w:ascii="Garamond" w:hAnsi="Garamond" w:cs="Arial"/>
          <w:sz w:val="24"/>
          <w:szCs w:val="24"/>
        </w:rPr>
        <w:t xml:space="preserve"> </w:t>
      </w:r>
      <w:r w:rsidR="007C49A2" w:rsidRPr="007C49A2">
        <w:rPr>
          <w:rFonts w:ascii="Garamond" w:hAnsi="Garamond"/>
          <w:color w:val="FF0000"/>
          <w:sz w:val="24"/>
          <w:szCs w:val="24"/>
        </w:rPr>
        <w:t>Pro účely pověřování úkony v řízení o dodatečném projednání pozůstalosti (dědictví) se za nástupce JUDr. Otakara Pánka považuje Mgr. Viktor Seman</w:t>
      </w:r>
      <w:r w:rsidR="007C49A2">
        <w:rPr>
          <w:rFonts w:ascii="Garamond" w:hAnsi="Garamond"/>
          <w:color w:val="FF0000"/>
          <w:sz w:val="24"/>
          <w:szCs w:val="24"/>
        </w:rPr>
        <w:t>i</w:t>
      </w:r>
      <w:r w:rsidR="007C49A2" w:rsidRPr="007C49A2">
        <w:rPr>
          <w:rFonts w:ascii="Garamond" w:hAnsi="Garamond"/>
          <w:color w:val="FF0000"/>
          <w:sz w:val="24"/>
          <w:szCs w:val="24"/>
        </w:rPr>
        <w:t>k.</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Krajský soud v Plzni – Spr</w:t>
      </w:r>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007C49A2">
        <w:rPr>
          <w:rFonts w:ascii="Garamond" w:hAnsi="Garamond" w:cs="Arial"/>
          <w:sz w:val="24"/>
          <w:szCs w:val="24"/>
        </w:rPr>
        <w:t xml:space="preserve">, </w:t>
      </w:r>
      <w:r w:rsidR="007C49A2" w:rsidRPr="007450EA">
        <w:rPr>
          <w:rFonts w:ascii="Garamond" w:hAnsi="Garamond" w:cs="Arial"/>
          <w:color w:val="FF0000"/>
          <w:sz w:val="24"/>
          <w:szCs w:val="24"/>
        </w:rPr>
        <w:t>Spr 1033/2021</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Nc, </w:t>
            </w:r>
            <w:r w:rsidRPr="0066711D">
              <w:rPr>
                <w:rFonts w:ascii="Garamond" w:eastAsia="Times New Roman" w:hAnsi="Garamond" w:cs="Arial"/>
                <w:sz w:val="24"/>
                <w:szCs w:val="24"/>
              </w:rPr>
              <w:t>PaNc</w:t>
            </w:r>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rozhodování ve věcech zapisovaných do rejstříků (seznamů) P, Nc, PaNc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s cizím prvkem (P,Nc (opatrovnické), PaNc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Věci senátu 4Rod, v nichž se budou provádět úkony vykonávacího řízení a bezplatné obhajoby, budou přiděleny k vyřízení JUDr. Siegelové.</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dle § 452 a násl. z.ř.s.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pověření předsedy soudu vykonává úkony podle § 6 jednacího řádu v opatrovnických věcech vyřizovaných v senátě 14PaNc, 41PaNc. V těchto věcech rovněž samostatně provádí úkony porozsudkové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j.ř.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úkony s výjimkou úkonů, k nimž je oprávněn výlučně soudce, včetně všech úkonů porozsudkové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lichých sp.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sudých sp.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mundační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sudé sp.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j.ř.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liché sp. zn.), 29EXE, vyřizuje žádosti podle § 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pověřena vyznačováním právních mocí dle § 23 j.ř.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F63D1C">
        <w:rPr>
          <w:rFonts w:ascii="Garamond" w:hAnsi="Garamond" w:cs="Times New Roman"/>
          <w:sz w:val="24"/>
          <w:szCs w:val="24"/>
        </w:rPr>
        <w:t xml:space="preserve">Dušáková,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zajišťuje platební styk s ČNB a dále s Českou poštou s. p. v aplikaci Crypta</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F63D1C">
        <w:rPr>
          <w:rFonts w:ascii="Garamond" w:hAnsi="Garamond" w:cs="Times New Roman"/>
          <w:sz w:val="24"/>
          <w:szCs w:val="24"/>
        </w:rPr>
        <w:t xml:space="preserve">Dušáková,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F63D1C" w:rsidP="00B42DF4">
      <w:pPr>
        <w:spacing w:after="0" w:line="240" w:lineRule="auto"/>
        <w:ind w:firstLine="709"/>
        <w:jc w:val="both"/>
        <w:rPr>
          <w:rFonts w:ascii="Garamond" w:hAnsi="Garamond" w:cs="Arial"/>
          <w:b/>
          <w:sz w:val="24"/>
          <w:szCs w:val="24"/>
        </w:rPr>
      </w:pPr>
      <w:r>
        <w:rPr>
          <w:rFonts w:ascii="Garamond" w:hAnsi="Garamond" w:cs="Arial"/>
          <w:b/>
          <w:sz w:val="24"/>
          <w:szCs w:val="24"/>
        </w:rPr>
        <w:t>2</w:t>
      </w:r>
      <w:r w:rsidR="00B42DF4" w:rsidRPr="0066711D">
        <w:rPr>
          <w:rFonts w:ascii="Garamond" w:hAnsi="Garamond" w:cs="Arial"/>
          <w:b/>
          <w:sz w:val="24"/>
          <w:szCs w:val="24"/>
        </w:rPr>
        <w:t xml:space="preserve">) </w:t>
      </w:r>
      <w:r w:rsidR="00B42DF4"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w:t>
      </w:r>
      <w:r w:rsidR="00F63D1C">
        <w:rPr>
          <w:rFonts w:ascii="Garamond" w:hAnsi="Garamond" w:cs="Times New Roman"/>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F63D1C">
        <w:rPr>
          <w:rFonts w:ascii="Garamond" w:hAnsi="Garamond" w:cs="Times New Roman"/>
          <w:sz w:val="24"/>
          <w:szCs w:val="24"/>
        </w:rPr>
        <w:t>Jaguláková</w:t>
      </w:r>
      <w:r w:rsidRPr="00F63D1C">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vede pokladnu, vymáhá pohledávky Sop, Nsn , Dv, Tř,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vymáhá pohledávky S</w:t>
      </w:r>
      <w:r w:rsidR="005B658A">
        <w:rPr>
          <w:rFonts w:ascii="Garamond" w:hAnsi="Garamond" w:cs="Arial"/>
          <w:sz w:val="24"/>
          <w:szCs w:val="24"/>
        </w:rPr>
        <w:t xml:space="preserve">op, Nsn , Dv, Tř,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Eva J</w:t>
      </w:r>
      <w:r w:rsidR="00BD304F" w:rsidRPr="0066711D">
        <w:rPr>
          <w:rFonts w:ascii="Garamond" w:hAnsi="Garamond" w:cs="Times New Roman"/>
          <w:b/>
          <w:sz w:val="24"/>
          <w:szCs w:val="24"/>
        </w:rPr>
        <w:t>amnická</w:t>
      </w: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Jolana Štrudlová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CE2E5F" w:rsidRPr="00A0799E" w:rsidRDefault="00BF0BFB" w:rsidP="003635D2">
      <w:pPr>
        <w:spacing w:after="0" w:line="240" w:lineRule="auto"/>
        <w:rPr>
          <w:rFonts w:ascii="Garamond" w:hAnsi="Garamond"/>
          <w:b/>
          <w:sz w:val="24"/>
          <w:szCs w:val="24"/>
        </w:rPr>
      </w:pPr>
      <w:r>
        <w:rPr>
          <w:rFonts w:ascii="Garamond" w:hAnsi="Garamond"/>
          <w:sz w:val="24"/>
          <w:szCs w:val="24"/>
        </w:rPr>
        <w:t>1</w:t>
      </w:r>
      <w:r w:rsidR="00CE2E5F" w:rsidRPr="00A0799E">
        <w:rPr>
          <w:rFonts w:ascii="Garamond" w:hAnsi="Garamond"/>
          <w:sz w:val="24"/>
          <w:szCs w:val="24"/>
        </w:rPr>
        <w:t xml:space="preserve">. </w:t>
      </w:r>
      <w:r w:rsidR="00CE2E5F"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F63D1C">
        <w:rPr>
          <w:rFonts w:ascii="Garamond" w:hAnsi="Garamond"/>
          <w:sz w:val="24"/>
          <w:szCs w:val="24"/>
        </w:rPr>
        <w:t>21. 2. 2025</w:t>
      </w:r>
    </w:p>
    <w:p w:rsidR="001B23A8" w:rsidRPr="00A0799E" w:rsidRDefault="001B23A8" w:rsidP="003635D2">
      <w:pPr>
        <w:spacing w:after="0" w:line="240" w:lineRule="auto"/>
        <w:rPr>
          <w:rFonts w:ascii="Garamond" w:hAnsi="Garamond"/>
          <w:sz w:val="24"/>
          <w:szCs w:val="24"/>
        </w:rPr>
      </w:pPr>
    </w:p>
    <w:p w:rsidR="004D36CA" w:rsidRPr="00A0799E" w:rsidRDefault="00BF0BFB" w:rsidP="003635D2">
      <w:pPr>
        <w:spacing w:after="0" w:line="240" w:lineRule="auto"/>
        <w:rPr>
          <w:rFonts w:ascii="Garamond" w:hAnsi="Garamond"/>
          <w:sz w:val="24"/>
          <w:szCs w:val="24"/>
        </w:rPr>
      </w:pPr>
      <w:r>
        <w:rPr>
          <w:rFonts w:ascii="Garamond" w:hAnsi="Garamond"/>
          <w:sz w:val="24"/>
          <w:szCs w:val="24"/>
        </w:rPr>
        <w:t>2</w:t>
      </w:r>
      <w:r w:rsidR="00430774" w:rsidRPr="00A0799E">
        <w:rPr>
          <w:rFonts w:ascii="Garamond" w:hAnsi="Garamond"/>
          <w:sz w:val="24"/>
          <w:szCs w:val="24"/>
        </w:rPr>
        <w:t xml:space="preserve">. </w:t>
      </w:r>
      <w:r w:rsidR="000F4C1B" w:rsidRPr="00A0799E">
        <w:rPr>
          <w:rFonts w:ascii="Garamond" w:hAnsi="Garamond"/>
          <w:b/>
          <w:sz w:val="24"/>
          <w:szCs w:val="24"/>
        </w:rPr>
        <w:t>Ing. Bernáthová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18.</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w:t>
      </w:r>
      <w:r w:rsidR="003635D2" w:rsidRPr="00A0799E">
        <w:rPr>
          <w:rFonts w:ascii="Garamond" w:hAnsi="Garamond"/>
          <w:sz w:val="24"/>
          <w:szCs w:val="24"/>
        </w:rPr>
        <w:t>.</w:t>
      </w:r>
      <w:r>
        <w:rPr>
          <w:rFonts w:ascii="Garamond" w:hAnsi="Garamond"/>
          <w:sz w:val="24"/>
          <w:szCs w:val="24"/>
        </w:rPr>
        <w:t xml:space="preserve"> </w:t>
      </w:r>
      <w:r w:rsidR="003635D2" w:rsidRPr="00A0799E">
        <w:rPr>
          <w:rFonts w:ascii="Garamond" w:hAnsi="Garamond"/>
          <w:b/>
          <w:sz w:val="24"/>
          <w:szCs w:val="24"/>
        </w:rPr>
        <w:t>Boubelová Irena</w:t>
      </w:r>
    </w:p>
    <w:p w:rsidR="003635D2" w:rsidRPr="0090032A"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387DC9" w:rsidRPr="0090032A">
        <w:rPr>
          <w:rFonts w:ascii="Garamond" w:hAnsi="Garamond"/>
          <w:sz w:val="24"/>
          <w:szCs w:val="24"/>
        </w:rPr>
        <w:t>16. 12. 2024</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4</w:t>
      </w:r>
      <w:r w:rsidR="00D37B2E" w:rsidRPr="00A0799E">
        <w:rPr>
          <w:rFonts w:ascii="Garamond" w:hAnsi="Garamond"/>
          <w:sz w:val="24"/>
          <w:szCs w:val="24"/>
        </w:rPr>
        <w:t xml:space="preserve">. </w:t>
      </w:r>
      <w:r w:rsidR="00D37B2E" w:rsidRPr="00A0799E">
        <w:rPr>
          <w:rFonts w:ascii="Garamond" w:hAnsi="Garamond"/>
          <w:b/>
          <w:sz w:val="24"/>
          <w:szCs w:val="24"/>
        </w:rPr>
        <w:t>Brizgalová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3635D2" w:rsidRPr="00A0799E" w:rsidRDefault="003635D2" w:rsidP="003635D2">
      <w:pPr>
        <w:spacing w:after="0" w:line="240" w:lineRule="auto"/>
        <w:rPr>
          <w:rFonts w:ascii="Garamond" w:hAnsi="Garamond"/>
          <w:sz w:val="24"/>
          <w:szCs w:val="24"/>
        </w:rPr>
      </w:pPr>
    </w:p>
    <w:p w:rsidR="00B860BA" w:rsidRPr="00A0799E" w:rsidRDefault="00BF0BFB" w:rsidP="00B860BA">
      <w:pPr>
        <w:spacing w:after="0" w:line="240" w:lineRule="auto"/>
        <w:rPr>
          <w:rFonts w:ascii="Garamond" w:hAnsi="Garamond"/>
          <w:sz w:val="24"/>
          <w:szCs w:val="24"/>
        </w:rPr>
      </w:pPr>
      <w:r>
        <w:rPr>
          <w:rFonts w:ascii="Garamond" w:hAnsi="Garamond"/>
          <w:sz w:val="24"/>
          <w:szCs w:val="24"/>
        </w:rPr>
        <w:t>5</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F63D1C">
        <w:rPr>
          <w:rFonts w:ascii="Garamond" w:hAnsi="Garamond"/>
          <w:sz w:val="24"/>
          <w:szCs w:val="24"/>
        </w:rPr>
        <w:t>2. 3. 2025</w:t>
      </w:r>
    </w:p>
    <w:p w:rsidR="004D36CA" w:rsidRPr="00A0799E" w:rsidRDefault="004D36CA"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6</w:t>
      </w:r>
      <w:r w:rsidR="003635D2" w:rsidRPr="00A0799E">
        <w:rPr>
          <w:rFonts w:ascii="Garamond" w:hAnsi="Garamond"/>
          <w:sz w:val="24"/>
          <w:szCs w:val="24"/>
        </w:rPr>
        <w:t>.</w:t>
      </w:r>
      <w:r w:rsidR="00F63D1C">
        <w:rPr>
          <w:rFonts w:ascii="Garamond" w:hAnsi="Garamond"/>
          <w:sz w:val="24"/>
          <w:szCs w:val="24"/>
        </w:rPr>
        <w:t xml:space="preserve"> </w:t>
      </w:r>
      <w:r w:rsidR="003635D2" w:rsidRPr="00A0799E">
        <w:rPr>
          <w:rFonts w:ascii="Garamond" w:hAnsi="Garamond"/>
          <w:b/>
          <w:sz w:val="24"/>
          <w:szCs w:val="24"/>
        </w:rPr>
        <w:t>Grochal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7</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8</w:t>
      </w:r>
      <w:r w:rsidR="00257DB6" w:rsidRPr="00A0799E">
        <w:rPr>
          <w:rFonts w:ascii="Garamond" w:hAnsi="Garamond"/>
          <w:sz w:val="24"/>
          <w:szCs w:val="24"/>
        </w:rPr>
        <w:t xml:space="preserve">. </w:t>
      </w:r>
      <w:r w:rsidR="00257DB6" w:rsidRPr="00A0799E">
        <w:rPr>
          <w:rFonts w:ascii="Garamond" w:hAnsi="Garamond"/>
          <w:b/>
          <w:sz w:val="24"/>
          <w:szCs w:val="24"/>
        </w:rPr>
        <w:t xml:space="preserve">Ing. Hadáček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sz w:val="24"/>
          <w:szCs w:val="24"/>
        </w:rPr>
      </w:pPr>
      <w:r>
        <w:rPr>
          <w:rFonts w:ascii="Garamond" w:hAnsi="Garamond"/>
          <w:sz w:val="24"/>
          <w:szCs w:val="24"/>
        </w:rPr>
        <w:t>9</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F63D1C" w:rsidP="00103C94">
      <w:pPr>
        <w:spacing w:after="0" w:line="240" w:lineRule="auto"/>
        <w:rPr>
          <w:rFonts w:ascii="Garamond" w:hAnsi="Garamond"/>
          <w:sz w:val="24"/>
          <w:szCs w:val="24"/>
        </w:rPr>
      </w:pPr>
      <w:r>
        <w:rPr>
          <w:rFonts w:ascii="Garamond" w:hAnsi="Garamond"/>
          <w:sz w:val="24"/>
          <w:szCs w:val="24"/>
        </w:rPr>
        <w:t>1</w:t>
      </w:r>
      <w:r w:rsidR="00D40A7F">
        <w:rPr>
          <w:rFonts w:ascii="Garamond" w:hAnsi="Garamond"/>
          <w:sz w:val="24"/>
          <w:szCs w:val="24"/>
        </w:rPr>
        <w:t>0</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D40A7F" w:rsidP="00103C94">
      <w:pPr>
        <w:spacing w:after="0" w:line="240" w:lineRule="auto"/>
        <w:rPr>
          <w:rFonts w:ascii="Garamond" w:hAnsi="Garamond"/>
          <w:b/>
          <w:sz w:val="24"/>
          <w:szCs w:val="24"/>
        </w:rPr>
      </w:pPr>
      <w:r>
        <w:rPr>
          <w:rFonts w:ascii="Garamond" w:hAnsi="Garamond"/>
          <w:sz w:val="24"/>
          <w:szCs w:val="24"/>
        </w:rPr>
        <w:t>11</w:t>
      </w:r>
      <w:r w:rsidR="00103C94" w:rsidRPr="00A0799E">
        <w:rPr>
          <w:rFonts w:ascii="Garamond" w:hAnsi="Garamond"/>
          <w:sz w:val="24"/>
          <w:szCs w:val="24"/>
        </w:rPr>
        <w:t xml:space="preserve">. </w:t>
      </w:r>
      <w:r w:rsidR="00103C94" w:rsidRPr="00A0799E">
        <w:rPr>
          <w:rFonts w:ascii="Garamond" w:hAnsi="Garamond"/>
          <w:b/>
          <w:sz w:val="24"/>
          <w:szCs w:val="24"/>
        </w:rPr>
        <w:t>Chuderáková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12</w:t>
      </w:r>
      <w:r w:rsidR="003013B6" w:rsidRPr="00A0799E">
        <w:rPr>
          <w:rFonts w:ascii="Garamond" w:hAnsi="Garamond"/>
          <w:sz w:val="24"/>
          <w:szCs w:val="24"/>
        </w:rPr>
        <w:t>.</w:t>
      </w:r>
      <w:r w:rsidR="00AF4319" w:rsidRPr="00A0799E">
        <w:rPr>
          <w:rFonts w:ascii="Garamond" w:hAnsi="Garamond"/>
          <w:sz w:val="24"/>
          <w:szCs w:val="24"/>
        </w:rPr>
        <w:t xml:space="preserve"> </w:t>
      </w:r>
      <w:r w:rsidR="00AF4319" w:rsidRPr="00A0799E">
        <w:rPr>
          <w:rFonts w:ascii="Garamond" w:hAnsi="Garamond"/>
          <w:b/>
          <w:sz w:val="24"/>
          <w:szCs w:val="24"/>
        </w:rPr>
        <w:t>Jabornická Remetová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D40A7F" w:rsidP="006366D4">
      <w:pPr>
        <w:spacing w:after="0" w:line="240" w:lineRule="auto"/>
        <w:rPr>
          <w:rFonts w:ascii="Garamond" w:hAnsi="Garamond"/>
          <w:sz w:val="24"/>
          <w:szCs w:val="24"/>
        </w:rPr>
      </w:pPr>
      <w:r>
        <w:rPr>
          <w:rFonts w:ascii="Garamond" w:hAnsi="Garamond"/>
          <w:sz w:val="24"/>
          <w:szCs w:val="24"/>
        </w:rPr>
        <w:t>13</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D40A7F">
        <w:rPr>
          <w:rFonts w:ascii="Garamond" w:hAnsi="Garamond"/>
          <w:sz w:val="24"/>
          <w:szCs w:val="24"/>
        </w:rPr>
        <w:t>24. 2. 2025</w:t>
      </w:r>
    </w:p>
    <w:p w:rsidR="004D36CA" w:rsidRPr="00A0799E" w:rsidRDefault="004D36CA" w:rsidP="006366D4">
      <w:pPr>
        <w:spacing w:after="0" w:line="240" w:lineRule="auto"/>
        <w:rPr>
          <w:rFonts w:ascii="Garamond" w:hAnsi="Garamond"/>
          <w:sz w:val="24"/>
          <w:szCs w:val="24"/>
        </w:rPr>
      </w:pPr>
    </w:p>
    <w:p w:rsidR="006366D4" w:rsidRPr="00A0799E" w:rsidRDefault="00D40A7F" w:rsidP="006366D4">
      <w:pPr>
        <w:spacing w:after="0" w:line="240" w:lineRule="auto"/>
        <w:rPr>
          <w:rFonts w:ascii="Garamond" w:hAnsi="Garamond"/>
          <w:sz w:val="24"/>
          <w:szCs w:val="24"/>
        </w:rPr>
      </w:pPr>
      <w:r>
        <w:rPr>
          <w:rFonts w:ascii="Garamond" w:hAnsi="Garamond"/>
          <w:sz w:val="24"/>
          <w:szCs w:val="24"/>
        </w:rPr>
        <w:t>14</w:t>
      </w:r>
      <w:r w:rsidR="006366D4" w:rsidRPr="00A0799E">
        <w:rPr>
          <w:rFonts w:ascii="Garamond" w:hAnsi="Garamond"/>
          <w:sz w:val="24"/>
          <w:szCs w:val="24"/>
        </w:rPr>
        <w:t xml:space="preserve">. </w:t>
      </w:r>
      <w:r w:rsidR="006366D4" w:rsidRPr="00A0799E">
        <w:rPr>
          <w:rFonts w:ascii="Garamond" w:hAnsi="Garamond"/>
          <w:b/>
          <w:sz w:val="24"/>
          <w:szCs w:val="24"/>
        </w:rPr>
        <w:t>Jurcsiková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D40A7F" w:rsidP="00786C39">
      <w:pPr>
        <w:spacing w:after="0" w:line="240" w:lineRule="auto"/>
        <w:rPr>
          <w:rFonts w:ascii="Garamond" w:hAnsi="Garamond"/>
          <w:b/>
          <w:sz w:val="24"/>
          <w:szCs w:val="24"/>
        </w:rPr>
      </w:pPr>
      <w:r>
        <w:rPr>
          <w:rFonts w:ascii="Garamond" w:hAnsi="Garamond"/>
          <w:sz w:val="24"/>
          <w:szCs w:val="24"/>
        </w:rPr>
        <w:t>15</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 xml:space="preserve">do </w:t>
      </w:r>
      <w:r w:rsidR="00F63D1C">
        <w:rPr>
          <w:rFonts w:ascii="Garamond" w:hAnsi="Garamond"/>
          <w:sz w:val="24"/>
          <w:szCs w:val="24"/>
        </w:rPr>
        <w:t>2. 3. 2025</w:t>
      </w:r>
    </w:p>
    <w:p w:rsidR="00AF4319" w:rsidRPr="00A0799E" w:rsidRDefault="00AF4319"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16</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D40A7F" w:rsidP="00D37B2E">
      <w:pPr>
        <w:spacing w:after="0" w:line="240" w:lineRule="auto"/>
        <w:rPr>
          <w:rFonts w:ascii="Garamond" w:hAnsi="Garamond"/>
          <w:sz w:val="24"/>
          <w:szCs w:val="24"/>
        </w:rPr>
      </w:pPr>
      <w:r>
        <w:rPr>
          <w:rFonts w:ascii="Garamond" w:hAnsi="Garamond"/>
          <w:sz w:val="24"/>
          <w:szCs w:val="24"/>
        </w:rPr>
        <w:t>17</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18</w:t>
      </w:r>
      <w:r w:rsidR="003635D2" w:rsidRPr="00A0799E">
        <w:rPr>
          <w:rFonts w:ascii="Garamond" w:hAnsi="Garamond"/>
          <w:sz w:val="24"/>
          <w:szCs w:val="24"/>
        </w:rPr>
        <w:t xml:space="preserve">. </w:t>
      </w:r>
      <w:r w:rsidR="000F4C1B" w:rsidRPr="00A0799E">
        <w:rPr>
          <w:rFonts w:ascii="Garamond" w:hAnsi="Garamond"/>
          <w:b/>
          <w:sz w:val="24"/>
          <w:szCs w:val="24"/>
        </w:rPr>
        <w:t xml:space="preserve">Bc. </w:t>
      </w:r>
      <w:r w:rsidR="003635D2" w:rsidRPr="00A0799E">
        <w:rPr>
          <w:rFonts w:ascii="Garamond" w:hAnsi="Garamond"/>
          <w:b/>
          <w:sz w:val="24"/>
          <w:szCs w:val="24"/>
        </w:rPr>
        <w:t>Klimčuková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D40A7F" w:rsidP="00D37B2E">
      <w:pPr>
        <w:spacing w:after="0" w:line="240" w:lineRule="auto"/>
        <w:rPr>
          <w:rFonts w:ascii="Garamond" w:hAnsi="Garamond"/>
          <w:sz w:val="24"/>
          <w:szCs w:val="24"/>
        </w:rPr>
      </w:pPr>
      <w:r>
        <w:rPr>
          <w:rFonts w:ascii="Garamond" w:hAnsi="Garamond"/>
          <w:sz w:val="24"/>
          <w:szCs w:val="24"/>
        </w:rPr>
        <w:t>19</w:t>
      </w:r>
      <w:r w:rsidR="00D37B2E" w:rsidRPr="00A0799E">
        <w:rPr>
          <w:rFonts w:ascii="Garamond" w:hAnsi="Garamond"/>
          <w:sz w:val="24"/>
          <w:szCs w:val="24"/>
        </w:rPr>
        <w:t xml:space="preserve">. </w:t>
      </w:r>
      <w:r w:rsidR="00D37B2E" w:rsidRPr="00A0799E">
        <w:rPr>
          <w:rFonts w:ascii="Garamond" w:hAnsi="Garamond"/>
          <w:b/>
          <w:sz w:val="24"/>
          <w:szCs w:val="24"/>
        </w:rPr>
        <w:t>Krumlíková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D40A7F" w:rsidP="00AF4319">
      <w:pPr>
        <w:spacing w:after="0" w:line="240" w:lineRule="auto"/>
        <w:rPr>
          <w:rFonts w:ascii="Garamond" w:hAnsi="Garamond"/>
          <w:b/>
          <w:sz w:val="24"/>
          <w:szCs w:val="24"/>
        </w:rPr>
      </w:pPr>
      <w:r>
        <w:rPr>
          <w:rFonts w:ascii="Garamond" w:hAnsi="Garamond"/>
          <w:sz w:val="24"/>
          <w:szCs w:val="24"/>
        </w:rPr>
        <w:t>20</w:t>
      </w:r>
      <w:r w:rsidR="00430774" w:rsidRPr="00A0799E">
        <w:rPr>
          <w:rFonts w:ascii="Garamond" w:hAnsi="Garamond"/>
          <w:b/>
          <w:sz w:val="24"/>
          <w:szCs w:val="24"/>
        </w:rPr>
        <w:t>. Lapcová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18.</w:t>
      </w:r>
      <w:r w:rsidR="00713459" w:rsidRPr="00A0799E">
        <w:rPr>
          <w:rFonts w:ascii="Garamond" w:hAnsi="Garamond"/>
          <w:sz w:val="24"/>
          <w:szCs w:val="24"/>
        </w:rPr>
        <w:t xml:space="preserve"> </w:t>
      </w:r>
      <w:r w:rsidR="008176CA" w:rsidRPr="00A0799E">
        <w:rPr>
          <w:rFonts w:ascii="Garamond" w:hAnsi="Garamond"/>
          <w:sz w:val="24"/>
          <w:szCs w:val="24"/>
        </w:rPr>
        <w:t>4.</w:t>
      </w:r>
      <w:r w:rsidR="00713459" w:rsidRPr="00A0799E">
        <w:rPr>
          <w:rFonts w:ascii="Garamond" w:hAnsi="Garamond"/>
          <w:sz w:val="24"/>
          <w:szCs w:val="24"/>
        </w:rPr>
        <w:t xml:space="preserve"> </w:t>
      </w:r>
      <w:r w:rsidR="008176CA" w:rsidRPr="00A0799E">
        <w:rPr>
          <w:rFonts w:ascii="Garamond" w:hAnsi="Garamond"/>
          <w:sz w:val="24"/>
          <w:szCs w:val="24"/>
        </w:rPr>
        <w:t>2021</w:t>
      </w:r>
    </w:p>
    <w:p w:rsidR="0090032A" w:rsidRDefault="0090032A" w:rsidP="00AF4319">
      <w:pPr>
        <w:spacing w:after="0" w:line="240" w:lineRule="auto"/>
        <w:rPr>
          <w:rFonts w:ascii="Garamond" w:hAnsi="Garamond"/>
          <w:sz w:val="24"/>
          <w:szCs w:val="24"/>
        </w:rPr>
      </w:pPr>
    </w:p>
    <w:p w:rsidR="00B030EB" w:rsidRPr="00A0799E" w:rsidRDefault="00F63D1C" w:rsidP="00AF4319">
      <w:pPr>
        <w:spacing w:after="0" w:line="240" w:lineRule="auto"/>
        <w:rPr>
          <w:rFonts w:ascii="Garamond" w:hAnsi="Garamond"/>
          <w:sz w:val="24"/>
          <w:szCs w:val="24"/>
        </w:rPr>
      </w:pPr>
      <w:r>
        <w:rPr>
          <w:rFonts w:ascii="Garamond" w:hAnsi="Garamond"/>
          <w:sz w:val="24"/>
          <w:szCs w:val="24"/>
        </w:rPr>
        <w:t>2</w:t>
      </w:r>
      <w:r w:rsidR="00D40A7F">
        <w:rPr>
          <w:rFonts w:ascii="Garamond" w:hAnsi="Garamond"/>
          <w:sz w:val="24"/>
          <w:szCs w:val="24"/>
        </w:rPr>
        <w:t>1</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BF0BFB" w:rsidRDefault="00BF0BFB" w:rsidP="00371396">
      <w:pPr>
        <w:spacing w:after="0" w:line="240" w:lineRule="auto"/>
        <w:rPr>
          <w:rFonts w:ascii="Garamond" w:hAnsi="Garamond"/>
          <w:sz w:val="24"/>
          <w:szCs w:val="24"/>
        </w:rPr>
      </w:pPr>
    </w:p>
    <w:p w:rsidR="00371396" w:rsidRPr="00A0799E" w:rsidRDefault="00D40A7F" w:rsidP="00371396">
      <w:pPr>
        <w:spacing w:after="0" w:line="240" w:lineRule="auto"/>
        <w:rPr>
          <w:rFonts w:ascii="Garamond" w:hAnsi="Garamond"/>
          <w:b/>
          <w:sz w:val="24"/>
          <w:szCs w:val="24"/>
        </w:rPr>
      </w:pPr>
      <w:r>
        <w:rPr>
          <w:rFonts w:ascii="Garamond" w:hAnsi="Garamond"/>
          <w:sz w:val="24"/>
          <w:szCs w:val="24"/>
        </w:rPr>
        <w:t>22</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F63D1C"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 xml:space="preserve">do </w:t>
      </w:r>
      <w:r w:rsidR="009F079B">
        <w:rPr>
          <w:rFonts w:ascii="Garamond" w:hAnsi="Garamond"/>
          <w:sz w:val="24"/>
          <w:szCs w:val="24"/>
        </w:rPr>
        <w:t>24. 3. 2025</w:t>
      </w:r>
    </w:p>
    <w:p w:rsidR="009F079B" w:rsidRDefault="009F079B"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23</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3013B6" w:rsidRPr="00A0799E" w:rsidRDefault="003013B6"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24</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7C49A2" w:rsidRDefault="007C49A2" w:rsidP="00B128DE">
      <w:pPr>
        <w:spacing w:after="0" w:line="240" w:lineRule="auto"/>
        <w:rPr>
          <w:rFonts w:ascii="Garamond" w:hAnsi="Garamond"/>
          <w:sz w:val="24"/>
          <w:szCs w:val="24"/>
        </w:rPr>
      </w:pPr>
    </w:p>
    <w:p w:rsidR="007C49A2" w:rsidRDefault="007C49A2">
      <w:pPr>
        <w:rPr>
          <w:rFonts w:ascii="Garamond" w:hAnsi="Garamond"/>
          <w:sz w:val="24"/>
          <w:szCs w:val="24"/>
        </w:rPr>
      </w:pPr>
      <w:r>
        <w:rPr>
          <w:rFonts w:ascii="Garamond" w:hAnsi="Garamond"/>
          <w:sz w:val="24"/>
          <w:szCs w:val="24"/>
        </w:rPr>
        <w:br w:type="page"/>
      </w:r>
    </w:p>
    <w:p w:rsidR="00B128DE" w:rsidRPr="00A0799E" w:rsidRDefault="00D40A7F" w:rsidP="00B128DE">
      <w:pPr>
        <w:spacing w:after="0" w:line="240" w:lineRule="auto"/>
        <w:rPr>
          <w:rFonts w:ascii="Garamond" w:hAnsi="Garamond"/>
          <w:sz w:val="24"/>
          <w:szCs w:val="24"/>
        </w:rPr>
      </w:pPr>
      <w:r>
        <w:rPr>
          <w:rFonts w:ascii="Garamond" w:hAnsi="Garamond"/>
          <w:sz w:val="24"/>
          <w:szCs w:val="24"/>
        </w:rPr>
        <w:lastRenderedPageBreak/>
        <w:t>25</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26</w:t>
      </w:r>
      <w:r w:rsidR="003635D2" w:rsidRPr="00A0799E">
        <w:rPr>
          <w:rFonts w:ascii="Garamond" w:hAnsi="Garamond"/>
          <w:sz w:val="24"/>
          <w:szCs w:val="24"/>
        </w:rPr>
        <w:t xml:space="preserve">. </w:t>
      </w:r>
      <w:r w:rsidR="00C2781F" w:rsidRPr="00A0799E">
        <w:rPr>
          <w:rFonts w:ascii="Garamond" w:hAnsi="Garamond"/>
          <w:b/>
          <w:sz w:val="24"/>
          <w:szCs w:val="24"/>
        </w:rPr>
        <w:t>Mgr. Puflerová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2</w:t>
      </w:r>
      <w:r w:rsidR="00D40A7F">
        <w:rPr>
          <w:rFonts w:ascii="Garamond" w:hAnsi="Garamond"/>
          <w:sz w:val="24"/>
          <w:szCs w:val="24"/>
        </w:rPr>
        <w:t>7</w:t>
      </w:r>
      <w:r w:rsidR="003635D2" w:rsidRPr="00A0799E">
        <w:rPr>
          <w:rFonts w:ascii="Garamond" w:hAnsi="Garamond"/>
          <w:sz w:val="24"/>
          <w:szCs w:val="24"/>
        </w:rPr>
        <w:t xml:space="preserve">. </w:t>
      </w:r>
      <w:r w:rsidR="003635D2" w:rsidRPr="00A0799E">
        <w:rPr>
          <w:rFonts w:ascii="Garamond" w:hAnsi="Garamond"/>
          <w:b/>
          <w:sz w:val="24"/>
          <w:szCs w:val="24"/>
        </w:rPr>
        <w:t>Piela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3A1A36" w:rsidRPr="00A0799E" w:rsidRDefault="003A1A36"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28</w:t>
      </w:r>
      <w:r w:rsidR="003635D2" w:rsidRPr="00A0799E">
        <w:rPr>
          <w:rFonts w:ascii="Garamond" w:hAnsi="Garamond"/>
          <w:sz w:val="24"/>
          <w:szCs w:val="24"/>
        </w:rPr>
        <w:t xml:space="preserve">. </w:t>
      </w:r>
      <w:r w:rsidR="003635D2" w:rsidRPr="00A0799E">
        <w:rPr>
          <w:rFonts w:ascii="Garamond" w:hAnsi="Garamond"/>
          <w:b/>
          <w:sz w:val="24"/>
          <w:szCs w:val="24"/>
        </w:rPr>
        <w:t>Shonová-Smoligová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D40A7F" w:rsidP="003635D2">
      <w:pPr>
        <w:spacing w:after="0" w:line="240" w:lineRule="auto"/>
        <w:rPr>
          <w:rFonts w:ascii="Garamond" w:hAnsi="Garamond"/>
          <w:sz w:val="24"/>
          <w:szCs w:val="24"/>
        </w:rPr>
      </w:pPr>
      <w:r>
        <w:rPr>
          <w:rFonts w:ascii="Garamond" w:hAnsi="Garamond"/>
          <w:sz w:val="24"/>
          <w:szCs w:val="24"/>
        </w:rPr>
        <w:t>29</w:t>
      </w:r>
      <w:r w:rsidR="00B26E21" w:rsidRPr="00A0799E">
        <w:rPr>
          <w:rFonts w:ascii="Garamond" w:hAnsi="Garamond"/>
          <w:sz w:val="24"/>
          <w:szCs w:val="24"/>
        </w:rPr>
        <w:t xml:space="preserve">. </w:t>
      </w:r>
      <w:r w:rsidR="00F353ED" w:rsidRPr="00A0799E">
        <w:rPr>
          <w:rFonts w:ascii="Garamond" w:hAnsi="Garamond"/>
          <w:b/>
          <w:sz w:val="24"/>
          <w:szCs w:val="24"/>
        </w:rPr>
        <w:t xml:space="preserve">Mgr. </w:t>
      </w:r>
      <w:r w:rsidR="00B26E21" w:rsidRPr="00A0799E">
        <w:rPr>
          <w:rFonts w:ascii="Garamond" w:hAnsi="Garamond"/>
          <w:b/>
          <w:sz w:val="24"/>
          <w:szCs w:val="24"/>
        </w:rPr>
        <w:t>Schromm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30</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D40A7F" w:rsidP="006A1577">
      <w:pPr>
        <w:spacing w:after="0" w:line="240" w:lineRule="auto"/>
        <w:rPr>
          <w:rFonts w:ascii="Garamond" w:hAnsi="Garamond"/>
          <w:sz w:val="24"/>
          <w:szCs w:val="24"/>
        </w:rPr>
      </w:pPr>
      <w:r>
        <w:rPr>
          <w:rFonts w:ascii="Garamond" w:hAnsi="Garamond"/>
          <w:sz w:val="24"/>
          <w:szCs w:val="24"/>
        </w:rPr>
        <w:t>31</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18.</w:t>
      </w:r>
      <w:r w:rsidR="00713459" w:rsidRPr="00A0799E">
        <w:rPr>
          <w:rFonts w:ascii="Garamond" w:hAnsi="Garamond"/>
          <w:sz w:val="24"/>
          <w:szCs w:val="24"/>
        </w:rPr>
        <w:t xml:space="preserve"> </w:t>
      </w:r>
      <w:r w:rsidR="0040718F" w:rsidRPr="00A0799E">
        <w:rPr>
          <w:rFonts w:ascii="Garamond" w:hAnsi="Garamond"/>
          <w:sz w:val="24"/>
          <w:szCs w:val="24"/>
        </w:rPr>
        <w:t>4.</w:t>
      </w:r>
      <w:r w:rsidR="00713459" w:rsidRPr="00A0799E">
        <w:rPr>
          <w:rFonts w:ascii="Garamond" w:hAnsi="Garamond"/>
          <w:sz w:val="24"/>
          <w:szCs w:val="24"/>
        </w:rPr>
        <w:t xml:space="preserve"> </w:t>
      </w:r>
      <w:r w:rsidR="0040718F" w:rsidRPr="00A0799E">
        <w:rPr>
          <w:rFonts w:ascii="Garamond" w:hAnsi="Garamond"/>
          <w:sz w:val="24"/>
          <w:szCs w:val="24"/>
        </w:rPr>
        <w:t>2021</w:t>
      </w:r>
    </w:p>
    <w:p w:rsidR="009F1168" w:rsidRPr="00A0799E" w:rsidRDefault="009F1168"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32</w:t>
      </w:r>
      <w:r w:rsidR="003635D2" w:rsidRPr="00A0799E">
        <w:rPr>
          <w:rFonts w:ascii="Garamond" w:hAnsi="Garamond"/>
          <w:sz w:val="24"/>
          <w:szCs w:val="24"/>
        </w:rPr>
        <w:t xml:space="preserve">. </w:t>
      </w:r>
      <w:r w:rsidR="003635D2" w:rsidRPr="00A0799E">
        <w:rPr>
          <w:rFonts w:ascii="Garamond" w:hAnsi="Garamond"/>
          <w:b/>
          <w:sz w:val="24"/>
          <w:szCs w:val="24"/>
        </w:rPr>
        <w:t>Tonnerová Marie</w:t>
      </w:r>
    </w:p>
    <w:p w:rsidR="00FE6BD5" w:rsidRPr="00F63D1C"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2100B5" w:rsidRPr="00F63D1C">
        <w:rPr>
          <w:rFonts w:ascii="Garamond" w:hAnsi="Garamond"/>
          <w:sz w:val="24"/>
          <w:szCs w:val="24"/>
        </w:rPr>
        <w:t>17. 2. 2025</w:t>
      </w:r>
    </w:p>
    <w:p w:rsidR="00257DB6" w:rsidRPr="00A0799E" w:rsidRDefault="00257DB6" w:rsidP="00A515CC">
      <w:pPr>
        <w:spacing w:after="0" w:line="240" w:lineRule="auto"/>
        <w:rPr>
          <w:rFonts w:ascii="Garamond" w:hAnsi="Garamond"/>
          <w:sz w:val="24"/>
          <w:szCs w:val="24"/>
        </w:rPr>
      </w:pPr>
    </w:p>
    <w:p w:rsidR="00257DB6" w:rsidRPr="00A0799E" w:rsidRDefault="00D40A7F" w:rsidP="00257DB6">
      <w:pPr>
        <w:spacing w:after="0" w:line="240" w:lineRule="auto"/>
        <w:rPr>
          <w:rFonts w:ascii="Garamond" w:hAnsi="Garamond"/>
          <w:sz w:val="24"/>
          <w:szCs w:val="24"/>
        </w:rPr>
      </w:pPr>
      <w:r>
        <w:rPr>
          <w:rFonts w:ascii="Garamond" w:hAnsi="Garamond"/>
          <w:sz w:val="24"/>
          <w:szCs w:val="24"/>
        </w:rPr>
        <w:t>33</w:t>
      </w:r>
      <w:r w:rsidR="00257DB6" w:rsidRPr="00A0799E">
        <w:rPr>
          <w:rFonts w:ascii="Garamond" w:hAnsi="Garamond"/>
          <w:sz w:val="24"/>
          <w:szCs w:val="24"/>
        </w:rPr>
        <w:t xml:space="preserve">. </w:t>
      </w:r>
      <w:r w:rsidR="00257DB6" w:rsidRPr="00A0799E">
        <w:rPr>
          <w:rFonts w:ascii="Garamond" w:hAnsi="Garamond"/>
          <w:b/>
          <w:sz w:val="24"/>
          <w:szCs w:val="24"/>
        </w:rPr>
        <w:t>Mgr. Vnučková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D40A7F" w:rsidP="006A1577">
      <w:pPr>
        <w:spacing w:after="0" w:line="240" w:lineRule="auto"/>
        <w:rPr>
          <w:rFonts w:ascii="Garamond" w:hAnsi="Garamond"/>
          <w:sz w:val="24"/>
          <w:szCs w:val="24"/>
        </w:rPr>
      </w:pPr>
      <w:r>
        <w:rPr>
          <w:rFonts w:ascii="Garamond" w:hAnsi="Garamond"/>
          <w:sz w:val="24"/>
          <w:szCs w:val="24"/>
        </w:rPr>
        <w:t>34</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1373E9" w:rsidRPr="00A0799E" w:rsidRDefault="001373E9" w:rsidP="006A1577">
      <w:pPr>
        <w:spacing w:after="0" w:line="240" w:lineRule="auto"/>
        <w:rPr>
          <w:rFonts w:ascii="Garamond" w:hAnsi="Garamond"/>
          <w:sz w:val="24"/>
          <w:szCs w:val="24"/>
        </w:rPr>
      </w:pPr>
    </w:p>
    <w:p w:rsidR="00035F63" w:rsidRPr="00A0799E" w:rsidRDefault="007C49A2" w:rsidP="00035F63">
      <w:pPr>
        <w:spacing w:after="0" w:line="240" w:lineRule="auto"/>
        <w:rPr>
          <w:rFonts w:ascii="Garamond" w:hAnsi="Garamond"/>
          <w:sz w:val="24"/>
          <w:szCs w:val="24"/>
        </w:rPr>
      </w:pPr>
      <w:r>
        <w:rPr>
          <w:rFonts w:ascii="Garamond" w:hAnsi="Garamond"/>
          <w:sz w:val="24"/>
          <w:szCs w:val="24"/>
        </w:rPr>
        <w:t>35</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90032A"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do</w:t>
      </w:r>
      <w:r w:rsidR="0090032A">
        <w:rPr>
          <w:rFonts w:ascii="Garamond" w:hAnsi="Garamond"/>
          <w:sz w:val="24"/>
          <w:szCs w:val="24"/>
        </w:rPr>
        <w:t xml:space="preserve"> </w:t>
      </w:r>
      <w:r w:rsidR="00387DC9" w:rsidRPr="0090032A">
        <w:rPr>
          <w:rFonts w:ascii="Garamond" w:hAnsi="Garamond"/>
          <w:sz w:val="24"/>
          <w:szCs w:val="24"/>
        </w:rPr>
        <w:t>8. 12. 2024</w:t>
      </w:r>
    </w:p>
    <w:p w:rsidR="002D5A67" w:rsidRPr="00A0799E" w:rsidRDefault="002D5A67" w:rsidP="003635D2">
      <w:pPr>
        <w:spacing w:after="0" w:line="240" w:lineRule="auto"/>
        <w:rPr>
          <w:rFonts w:ascii="Garamond" w:hAnsi="Garamond"/>
          <w:sz w:val="24"/>
          <w:szCs w:val="24"/>
        </w:rPr>
      </w:pPr>
    </w:p>
    <w:p w:rsidR="003635D2" w:rsidRPr="00A0799E" w:rsidRDefault="007C49A2" w:rsidP="003635D2">
      <w:pPr>
        <w:spacing w:after="0" w:line="240" w:lineRule="auto"/>
        <w:rPr>
          <w:rFonts w:ascii="Garamond" w:hAnsi="Garamond"/>
          <w:sz w:val="24"/>
          <w:szCs w:val="24"/>
        </w:rPr>
      </w:pPr>
      <w:r>
        <w:rPr>
          <w:rFonts w:ascii="Garamond" w:hAnsi="Garamond"/>
          <w:sz w:val="24"/>
          <w:szCs w:val="24"/>
        </w:rPr>
        <w:t>36</w:t>
      </w:r>
      <w:r w:rsidR="003635D2" w:rsidRPr="00A0799E">
        <w:rPr>
          <w:rFonts w:ascii="Garamond" w:hAnsi="Garamond"/>
          <w:b/>
          <w:sz w:val="24"/>
          <w:szCs w:val="24"/>
        </w:rPr>
        <w:t>. Vojtová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7C49A2" w:rsidP="003635D2">
      <w:pPr>
        <w:spacing w:after="0" w:line="240" w:lineRule="auto"/>
        <w:rPr>
          <w:rFonts w:ascii="Garamond" w:hAnsi="Garamond"/>
          <w:sz w:val="24"/>
          <w:szCs w:val="24"/>
        </w:rPr>
      </w:pPr>
      <w:r>
        <w:rPr>
          <w:rFonts w:ascii="Garamond" w:hAnsi="Garamond"/>
          <w:sz w:val="24"/>
          <w:szCs w:val="24"/>
        </w:rPr>
        <w:t>37</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7C49A2" w:rsidP="003635D2">
      <w:pPr>
        <w:spacing w:after="0" w:line="240" w:lineRule="auto"/>
        <w:rPr>
          <w:rFonts w:ascii="Garamond" w:hAnsi="Garamond"/>
          <w:b/>
          <w:sz w:val="24"/>
          <w:szCs w:val="24"/>
        </w:rPr>
      </w:pPr>
      <w:r>
        <w:rPr>
          <w:rFonts w:ascii="Garamond" w:hAnsi="Garamond"/>
          <w:sz w:val="24"/>
          <w:szCs w:val="24"/>
        </w:rPr>
        <w:t>38</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7C49A2" w:rsidP="003635D2">
      <w:pPr>
        <w:spacing w:after="0" w:line="240" w:lineRule="auto"/>
        <w:rPr>
          <w:rFonts w:ascii="Garamond" w:hAnsi="Garamond"/>
          <w:b/>
          <w:sz w:val="24"/>
          <w:szCs w:val="24"/>
        </w:rPr>
      </w:pPr>
      <w:r>
        <w:rPr>
          <w:rFonts w:ascii="Garamond" w:hAnsi="Garamond"/>
          <w:sz w:val="24"/>
          <w:szCs w:val="24"/>
        </w:rPr>
        <w:t>39</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0E" w:rsidRDefault="009D720E" w:rsidP="009E3F51">
      <w:pPr>
        <w:spacing w:after="0" w:line="240" w:lineRule="auto"/>
      </w:pPr>
      <w:r>
        <w:separator/>
      </w:r>
    </w:p>
  </w:endnote>
  <w:endnote w:type="continuationSeparator" w:id="0">
    <w:p w:rsidR="009D720E" w:rsidRDefault="009D720E"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9D720E" w:rsidRPr="00B731FD" w:rsidRDefault="009D720E">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630EEA">
          <w:rPr>
            <w:rFonts w:ascii="Garamond" w:hAnsi="Garamond"/>
            <w:noProof/>
          </w:rPr>
          <w:t>20</w:t>
        </w:r>
        <w:r w:rsidRPr="00B731FD">
          <w:rPr>
            <w:rFonts w:ascii="Garamond" w:hAnsi="Garamond"/>
            <w:noProof/>
          </w:rPr>
          <w:fldChar w:fldCharType="end"/>
        </w:r>
      </w:p>
    </w:sdtContent>
  </w:sdt>
  <w:p w:rsidR="009D720E" w:rsidRDefault="009D72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0E" w:rsidRDefault="009D720E" w:rsidP="009E3F51">
      <w:pPr>
        <w:spacing w:after="0" w:line="240" w:lineRule="auto"/>
      </w:pPr>
      <w:r>
        <w:separator/>
      </w:r>
    </w:p>
  </w:footnote>
  <w:footnote w:type="continuationSeparator" w:id="0">
    <w:p w:rsidR="009D720E" w:rsidRDefault="009D720E"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3"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2"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2"/>
  </w:num>
  <w:num w:numId="5">
    <w:abstractNumId w:val="34"/>
  </w:num>
  <w:num w:numId="6">
    <w:abstractNumId w:val="23"/>
  </w:num>
  <w:num w:numId="7">
    <w:abstractNumId w:val="0"/>
  </w:num>
  <w:num w:numId="8">
    <w:abstractNumId w:val="14"/>
  </w:num>
  <w:num w:numId="9">
    <w:abstractNumId w:val="32"/>
  </w:num>
  <w:num w:numId="10">
    <w:abstractNumId w:val="28"/>
  </w:num>
  <w:num w:numId="11">
    <w:abstractNumId w:val="21"/>
  </w:num>
  <w:num w:numId="12">
    <w:abstractNumId w:val="17"/>
  </w:num>
  <w:num w:numId="13">
    <w:abstractNumId w:val="12"/>
  </w:num>
  <w:num w:numId="14">
    <w:abstractNumId w:val="33"/>
  </w:num>
  <w:num w:numId="15">
    <w:abstractNumId w:val="18"/>
  </w:num>
  <w:num w:numId="16">
    <w:abstractNumId w:val="25"/>
  </w:num>
  <w:num w:numId="17">
    <w:abstractNumId w:val="4"/>
  </w:num>
  <w:num w:numId="18">
    <w:abstractNumId w:val="3"/>
  </w:num>
  <w:num w:numId="19">
    <w:abstractNumId w:val="13"/>
  </w:num>
  <w:num w:numId="20">
    <w:abstractNumId w:val="19"/>
  </w:num>
  <w:num w:numId="21">
    <w:abstractNumId w:val="31"/>
  </w:num>
  <w:num w:numId="22">
    <w:abstractNumId w:val="9"/>
  </w:num>
  <w:num w:numId="23">
    <w:abstractNumId w:val="7"/>
  </w:num>
  <w:num w:numId="24">
    <w:abstractNumId w:val="5"/>
  </w:num>
  <w:num w:numId="25">
    <w:abstractNumId w:val="2"/>
  </w:num>
  <w:num w:numId="26">
    <w:abstractNumId w:val="26"/>
  </w:num>
  <w:num w:numId="27">
    <w:abstractNumId w:val="24"/>
  </w:num>
  <w:num w:numId="28">
    <w:abstractNumId w:val="30"/>
  </w:num>
  <w:num w:numId="29">
    <w:abstractNumId w:val="8"/>
  </w:num>
  <w:num w:numId="30">
    <w:abstractNumId w:val="1"/>
  </w:num>
  <w:num w:numId="31">
    <w:abstractNumId w:val="27"/>
  </w:num>
  <w:num w:numId="32">
    <w:abstractNumId w:val="15"/>
  </w:num>
  <w:num w:numId="33">
    <w:abstractNumId w:val="29"/>
  </w:num>
  <w:num w:numId="34">
    <w:abstractNumId w:val="6"/>
  </w:num>
  <w:num w:numId="35">
    <w:abstractNumId w:val="24"/>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TrackFormatting/>
  <w:defaultTabStop w:val="709"/>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32BD"/>
    <w:rsid w:val="00EB42FC"/>
    <w:rsid w:val="00EB5972"/>
    <w:rsid w:val="00EB757B"/>
    <w:rsid w:val="00EC0FB6"/>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3A4DECD"/>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92BFA-6A73-46F8-98C9-D6C510A4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58</Pages>
  <Words>14012</Words>
  <Characters>82673</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7</cp:revision>
  <cp:lastPrinted>2021-04-30T06:22:00Z</cp:lastPrinted>
  <dcterms:created xsi:type="dcterms:W3CDTF">2021-04-29T11:13:00Z</dcterms:created>
  <dcterms:modified xsi:type="dcterms:W3CDTF">2021-04-30T06:22:00Z</dcterms:modified>
</cp:coreProperties>
</file>