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F0603D">
        <w:rPr>
          <w:rFonts w:ascii="Garamond" w:hAnsi="Garamond"/>
          <w:b/>
          <w:color w:val="FF0000"/>
          <w:sz w:val="40"/>
          <w:szCs w:val="40"/>
        </w:rPr>
        <w:t>7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A62A42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2D6BC8">
        <w:rPr>
          <w:rFonts w:ascii="Garamond" w:hAnsi="Garamond"/>
          <w:b/>
          <w:sz w:val="28"/>
          <w:szCs w:val="28"/>
        </w:rPr>
        <w:t>26</w:t>
      </w:r>
      <w:r w:rsidR="00F0603D">
        <w:rPr>
          <w:rFonts w:ascii="Garamond" w:hAnsi="Garamond"/>
          <w:b/>
          <w:sz w:val="28"/>
          <w:szCs w:val="28"/>
        </w:rPr>
        <w:t>. června 2019</w:t>
      </w:r>
    </w:p>
    <w:p w:rsidR="00DA7EE5" w:rsidRDefault="00DA7EE5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165BA3" w:rsidRDefault="00401015" w:rsidP="00165BA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pondělí, úterý, č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tvrtek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7:00 – 11:30 hod.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12:00 – 15:30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středa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>7:00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– 11:30 hod.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12:00 – 16:30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pátek 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>7:00 – 11:30 hod.        12:00 – 14:30 hod.</w:t>
            </w:r>
          </w:p>
          <w:p w:rsidR="00891472" w:rsidRPr="00205F6C" w:rsidRDefault="00401015" w:rsidP="00891472">
            <w:pPr>
              <w:ind w:left="1418" w:hanging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                       7:00 – 12:00 hod. </w:t>
            </w:r>
          </w:p>
          <w:p w:rsidR="00782FBF" w:rsidRPr="00205F6C" w:rsidRDefault="00891472" w:rsidP="00891472">
            <w:pPr>
              <w:ind w:left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31. 12.                      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7:00 – 12:00 hod. </w:t>
            </w:r>
          </w:p>
          <w:p w:rsidR="00782FBF" w:rsidRPr="00782FBF" w:rsidRDefault="00782FBF" w:rsidP="00782FBF">
            <w:pPr>
              <w:spacing w:line="240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podatelna       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po celou pracovní dobu     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ntrum                      </w:t>
            </w:r>
            <w:r w:rsidR="00401015">
              <w:rPr>
                <w:rFonts w:ascii="Garamond" w:hAnsi="Garamond" w:cs="Arial"/>
                <w:sz w:val="24"/>
                <w:szCs w:val="24"/>
              </w:rPr>
              <w:tab/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úterý, čtvrtek:  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 – 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0D383E" w:rsidRDefault="00165BA3" w:rsidP="00355FA5">
            <w:pPr>
              <w:spacing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  <w:r w:rsidR="00612C8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 – 14:00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891472" w:rsidRPr="00205F6C" w:rsidRDefault="00401015" w:rsidP="0089147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 7:30  –  12:00 hod. </w:t>
            </w:r>
          </w:p>
          <w:p w:rsidR="00782FBF" w:rsidRPr="00205F6C" w:rsidRDefault="00782FBF" w:rsidP="00891472">
            <w:pPr>
              <w:ind w:firstLine="3686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12.       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0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12:00 hod. 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– 11:00 hod.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každou  středu od 9:00 – 10:30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po dobu pro styk s 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 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CEPR po celou pracovní dobu 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č.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165BA3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 w:rsidRPr="000D383E">
        <w:rPr>
          <w:rFonts w:ascii="Garamond" w:hAnsi="Garamond"/>
          <w:b/>
          <w:sz w:val="24"/>
          <w:szCs w:val="24"/>
        </w:rPr>
        <w:br w:type="page"/>
      </w:r>
      <w:r w:rsidR="000D383E"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3E7E8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materiální                   a finanční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vede rejstřík 2Spr, 2Si, 2St, 2ZTR a evidenční pomůcky podle               § 255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0D1E1E">
        <w:rPr>
          <w:rFonts w:ascii="Garamond" w:hAnsi="Garamond"/>
          <w:b/>
          <w:sz w:val="24"/>
          <w:szCs w:val="24"/>
        </w:rPr>
        <w:t xml:space="preserve">  </w:t>
      </w:r>
      <w:r w:rsidR="0027396F">
        <w:rPr>
          <w:rFonts w:ascii="Garamond" w:hAnsi="Garamond"/>
          <w:b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</w:rPr>
        <w:t xml:space="preserve">Bc. Martina Popelková, </w:t>
      </w:r>
      <w:proofErr w:type="spellStart"/>
      <w:r>
        <w:rPr>
          <w:rFonts w:ascii="Garamond" w:hAnsi="Garamond"/>
          <w:b/>
          <w:sz w:val="24"/>
          <w:szCs w:val="24"/>
        </w:rPr>
        <w:t>DiS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338" w:rsidRPr="0027396F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7396F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F96338" w:rsidRP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 a 2ZRT</w:t>
      </w:r>
    </w:p>
    <w:p w:rsid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B05D9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5D9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Default="00B05D9C" w:rsidP="00B05D9C">
      <w:pPr>
        <w:rPr>
          <w:rFonts w:ascii="Garamond" w:hAnsi="Garamond"/>
          <w:b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0615A9" w:rsidRDefault="000615A9"/>
    <w:p w:rsidR="00E72DEF" w:rsidRDefault="00E72DEF"/>
    <w:p w:rsidR="00D45D20" w:rsidRDefault="00D45D20"/>
    <w:p w:rsidR="00F835CA" w:rsidRPr="00F96338" w:rsidRDefault="00F96338" w:rsidP="00624C16">
      <w:pPr>
        <w:ind w:firstLine="360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 xml:space="preserve">DOSAŽITELNOST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F96338">
        <w:rPr>
          <w:rFonts w:ascii="Garamond" w:hAnsi="Garamond" w:cs="Arial"/>
          <w:b/>
          <w:bCs/>
          <w:sz w:val="24"/>
          <w:szCs w:val="24"/>
        </w:rPr>
        <w:t>tr</w:t>
      </w:r>
      <w:proofErr w:type="spellEnd"/>
      <w:r w:rsidRPr="00F96338">
        <w:rPr>
          <w:rFonts w:ascii="Garamond" w:hAnsi="Garamond" w:cs="Arial"/>
          <w:b/>
          <w:bCs/>
          <w:sz w:val="24"/>
          <w:szCs w:val="24"/>
        </w:rPr>
        <w:t>. řádu (v pracovní i v mimopracovní době):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  <w:t xml:space="preserve">  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o zatčených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JUDr. Renata Klatovská, Mgr. Miloslav Boudník, JUDr. Soňa Protivová, JUDr. Jaroslav Špička,  JUDr.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.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 Mgr. Jindřich Mařík,  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</w:t>
      </w:r>
      <w:r w:rsidR="00DA7EE5">
        <w:rPr>
          <w:rFonts w:ascii="Garamond" w:hAnsi="Garamond" w:cs="Arial"/>
          <w:color w:val="000000" w:themeColor="text1"/>
          <w:sz w:val="24"/>
          <w:szCs w:val="24"/>
        </w:rPr>
        <w:t xml:space="preserve">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soudce, jemuž má být věc přidělena, nemůže ji 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nepřítomnosti  vyřizuje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624C16">
      <w:pPr>
        <w:pStyle w:val="Normlnweb"/>
        <w:spacing w:before="0" w:beforeAutospacing="0" w:after="0" w:afterAutospacing="0"/>
        <w:ind w:firstLine="36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lastRenderedPageBreak/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>nebude-li možné v konkrétní věci senát obsadit shora uvedeným způsobem, obsadí se senát přísedícím přiděleným do následujícího senátu dle výše uvedených pravidel, nebude – li možné v konkrétní věci senát obsadit shora uvedeným způsobem, obsadí</w:t>
      </w:r>
      <w:r w:rsidR="002C4D95">
        <w:t xml:space="preserve"> se senát přísedícím přiděleným </w:t>
      </w:r>
      <w:r w:rsidRPr="00AB05C8">
        <w:t>do následujícího senátu dle výše uvedených pravidel a pokud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DF2221" w:rsidRDefault="00DF2221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292AC8" w:rsidRDefault="00292A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3E7E8E">
      <w:pPr>
        <w:pStyle w:val="Normlnweb"/>
        <w:numPr>
          <w:ilvl w:val="0"/>
          <w:numId w:val="27"/>
        </w:numPr>
        <w:spacing w:before="0" w:beforeAutospacing="0" w:after="0" w:afterAutospacing="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>Věci napadlé do soudního oddělení 1 T do 31.8.2015,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AA0BE2" w:rsidRDefault="00AA0BE2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Lucie Šrámková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64027" w:rsidRPr="00DA7EE5" w:rsidRDefault="00E64027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D45D2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rátkodobý a </w:t>
            </w:r>
          </w:p>
          <w:p w:rsidR="00E27360" w:rsidRDefault="00E27360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D6BC8" w:rsidRDefault="002D6BC8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rej. T věci napadají v rozsahu </w:t>
            </w:r>
            <w:r w:rsidR="009E3BD5" w:rsidRPr="0020590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40 </w:t>
            </w:r>
            <w:r w:rsidRPr="0020590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, v rej.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rej.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Radka 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4027" w:rsidRPr="00E64027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 </w:t>
            </w:r>
            <w:r w:rsidR="00E64027" w:rsidRPr="00E64027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rej.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trestní odpovědnosti právnických osob a řízení 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985A48" w:rsidRDefault="00985A4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270F47" w:rsidRDefault="00270F47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70F47" w:rsidRDefault="00270F47" w:rsidP="00785D0C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41704D" w:rsidRDefault="0041704D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CB5267" w:rsidRPr="00DA7EE5" w:rsidRDefault="00CB5267" w:rsidP="008F5143">
            <w:pPr>
              <w:pStyle w:val="Zkladntext"/>
              <w:spacing w:before="200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rej.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veřejných soutěžích a dražbách, řízení ve věcech trestní odpovědnosti právnických osob a 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D124C" w:rsidRDefault="002D124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5A130A" w:rsidRDefault="00AA0BE2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AA0BE2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2D124C" w:rsidRDefault="002D124C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</w:t>
      </w:r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Pr="00DA7EE5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z. trestný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DA7EE5" w:rsidRDefault="00DA7EE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DA7EE5" w:rsidRDefault="00DA7EE5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835300" w:rsidRDefault="00835300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327166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80FBD" w:rsidRPr="008F5143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985A48" w:rsidRDefault="00985A48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880FBD" w:rsidRDefault="00880FB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Pr="005E19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D124C" w:rsidRDefault="002D124C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- 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327166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Default="008B4DBB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5750D2" w:rsidRDefault="005750D2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880FBD" w:rsidRDefault="00880FBD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6E1822" w:rsidRDefault="006E1822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E1822" w:rsidRDefault="006E1822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lastRenderedPageBreak/>
              <w:t>Trvalý  zástup</w:t>
            </w: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2D124C" w:rsidRDefault="002D124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D124C" w:rsidRDefault="002D124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JUDr. Zuzana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880FBD" w:rsidRPr="00E77A8E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2D124C" w:rsidRDefault="002D124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2D124C" w:rsidRDefault="002D12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F0603D" w:rsidRDefault="00E77A8E" w:rsidP="00E77A8E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F0603D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Mgr. Pavla </w:t>
            </w:r>
          </w:p>
          <w:p w:rsidR="00E77A8E" w:rsidRPr="00F0603D" w:rsidRDefault="00E77A8E" w:rsidP="00E77A8E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F0603D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Tupá</w:t>
            </w:r>
          </w:p>
          <w:p w:rsidR="00E77A8E" w:rsidRPr="00F0603D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0603D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30.9.2014 přiděleny k vyřízení jinému soudci a nespadají do specializace jiného soudce. Dále rozhodování o ustanovení opatrovníka podle § 29 o.s.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D124C" w:rsidRDefault="002D124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DF2221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2D124C" w:rsidRDefault="002D124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2D124C" w:rsidRDefault="002D124C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E, 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DA7EE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2D124C" w:rsidRDefault="002D12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v rozsahu</w:t>
            </w:r>
            <w:r w:rsidRPr="00355FA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% a se specializací na věci s cizím prvkem, které napadají v rozsahu 50 %.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31.8.2015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D6BC8" w:rsidRDefault="002D6BC8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D6BC8" w:rsidRDefault="002D6BC8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E3B2C" w:rsidRPr="00EC3605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2D6BC8" w:rsidRDefault="002D6BC8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Default="003B6DF2" w:rsidP="007A78A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E27360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C,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EC a EVC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Cd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0603D" w:rsidRPr="003B6DF2" w:rsidRDefault="00F0603D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6BC8" w:rsidRDefault="002D6BC8" w:rsidP="007A78A9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</w:p>
          <w:p w:rsidR="003B6DF2" w:rsidRPr="00F0603D" w:rsidRDefault="003B6DF2" w:rsidP="007A78A9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F0603D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Mgr. Pavla Tupá </w:t>
            </w:r>
          </w:p>
          <w:p w:rsidR="003B6DF2" w:rsidRPr="00F0603D" w:rsidRDefault="003B6DF2" w:rsidP="007A78A9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F0603D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asistentka soudce</w:t>
            </w:r>
          </w:p>
          <w:p w:rsidR="00BB3482" w:rsidRDefault="00BB348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41704D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úřednice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3B6DF2" w:rsidRPr="003B6DF2" w:rsidRDefault="003B6DF2" w:rsidP="0041704D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3B6DF2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2D124C" w:rsidRDefault="002D124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B71F34" w:rsidRDefault="00880FBD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2D124C" w:rsidRDefault="002D124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124C" w:rsidRDefault="002D124C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124C" w:rsidRDefault="002D124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E27360" w:rsidRPr="003B6DF2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E6605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5E1939" w:rsidRPr="005E1939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Pr="005E1939" w:rsidRDefault="00880FBD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274FB3" w:rsidRDefault="00274FB3" w:rsidP="00F20A97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2D124C" w:rsidRDefault="002D124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D124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2D124C" w:rsidRDefault="002D124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604424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se specializací na věci s cizím prvkem. Dále se specializací na obnovu řízení a žaloby pro zmatečnost do věcí evidovaných v rejstřících  Cd,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D124C" w:rsidRDefault="002D124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napadlé do 31.8.2015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2D124C" w:rsidRDefault="002D124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6BC8" w:rsidRDefault="002D6BC8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2D124C" w:rsidRDefault="002D124C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D124C" w:rsidRDefault="002D124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D6BC8" w:rsidRDefault="002D6BC8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trvalý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20B8A" w:rsidRPr="00220B8A" w:rsidRDefault="00220B8A" w:rsidP="00F1436B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20B8A" w:rsidRPr="00220B8A" w:rsidRDefault="00220B8A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                       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61899" w:rsidRDefault="0036189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="0027396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220B8A" w:rsidRPr="005A3DAC" w:rsidRDefault="00220B8A" w:rsidP="00D66060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880FBD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A3DAC" w:rsidRDefault="005A3DAC" w:rsidP="00F27B8E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55FA5" w:rsidRDefault="00355FA5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CE3174" w:rsidRPr="00F20A97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E12CDF" w:rsidRDefault="005A3DAC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D6BC8" w:rsidRDefault="002D6BC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9535A" w:rsidRDefault="0039535A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DA7EE5" w:rsidRDefault="00DA7EE5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F0603D" w:rsidRDefault="00F0603D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3E7E8E">
      <w:pPr>
        <w:pStyle w:val="Odstavecseseznamem"/>
        <w:numPr>
          <w:ilvl w:val="0"/>
          <w:numId w:val="27"/>
        </w:num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věcech ve lhůtě do 30 dnů od nápadu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Krátkodobý zástup znamená zastupování soudce pro jednotlivé úkony ve věci v případě, že soudce, jemuž byla věc přidělena nemůže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Při převodu věci z agendy CEPR do C, je žaloba do rej.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náležela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rej.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Všichni soudci zařazení na občanskoprávním úseku provádějí úkony podle § 260a a § 259 o.s.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Nejasná podání vedená v rej.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205F6C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205F6C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řádu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>týká-li se taková věc více než 6 obviněných bude taková věc počítána jakoby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7.1. – 14.1.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14.1. – 21.1.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21.1. – 28.1.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28.1. – 4.2.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4.2. – 11.2.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11.2. – 18.2.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18.2. – 25.2.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25.2. – 4.3.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4.3. – 11.3.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11.3. – 18.3.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18.3. – 25.3.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25.3. – 1.4.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1.4. – 8.4.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8.4. – 15.4.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15.4. – 22.4.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22.4. – 29.4.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29.4. – 6.5.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6.5. – 13.5.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>JUDr</w:t>
            </w:r>
            <w:r w:rsidR="008C630F" w:rsidRPr="008C630F">
              <w:rPr>
                <w:rFonts w:ascii="Garamond" w:hAnsi="Garamond"/>
                <w:bCs/>
              </w:rPr>
              <w:t xml:space="preserve">. Klatovská, Mgr.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20.5.- 27.5.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27.5. – 3.6.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3.6. – 10.6.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10.6. – 17.6.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 xml:space="preserve">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17.6. – 24.6.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24.6. – 1.7.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1.7. – 8.7.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8.7. – 15.7.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15.7. – 22.7.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  <w:r w:rsidRPr="00835300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spellStart"/>
            <w:r w:rsidR="0041704D" w:rsidRPr="00835300">
              <w:rPr>
                <w:rFonts w:ascii="Garamond" w:hAnsi="Garamond"/>
                <w:bCs/>
                <w:color w:val="000000" w:themeColor="text1"/>
              </w:rPr>
              <w:t>Protitová</w:t>
            </w:r>
            <w:proofErr w:type="spellEnd"/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22.7. – 29.7.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Mgr. Boudník,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29.7. – 5.8.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5.8. – 12.8.</w:t>
            </w:r>
          </w:p>
        </w:tc>
        <w:tc>
          <w:tcPr>
            <w:tcW w:w="4962" w:type="dxa"/>
          </w:tcPr>
          <w:p w:rsidR="008C630F" w:rsidRPr="006E1822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Mgr. Boudník, </w:t>
            </w:r>
            <w:r w:rsidR="0041704D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12.8.- 19.8.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, 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19.8. – 26.8.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26.8. – 2.9.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2.9. – 9.9.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9.9. – 16.9.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16.9. – 23.9.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23.9. – 30.9.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30.9. – 7.10.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7.10. – 14.10.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14.10.- 21.10.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21.10. – 28.10.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28.10. – 4.11.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985A48">
            <w:pPr>
              <w:tabs>
                <w:tab w:val="center" w:pos="993"/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4.11. – 11.11.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Špička</w:t>
            </w:r>
            <w:r w:rsidR="00C71F74" w:rsidRPr="006E1822"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11.11. – 18.11.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18.11. – 25.11.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7A5536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C71F74" w:rsidRPr="006E1822">
              <w:rPr>
                <w:rFonts w:ascii="Garamond" w:hAnsi="Garamond"/>
                <w:bCs/>
                <w:color w:val="000000" w:themeColor="text1"/>
              </w:rPr>
              <w:t>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2.12. – 9.12.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9.12. – 16.12.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16.12. – 23.12.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23.12. – 30.12.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JUDr. Protivová, JUDr. Klatovská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, 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30.12.2019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71F74" w:rsidRDefault="00C71F74" w:rsidP="00985A48">
      <w:pPr>
        <w:tabs>
          <w:tab w:val="left" w:pos="3544"/>
        </w:tabs>
        <w:rPr>
          <w:rFonts w:ascii="Garamond" w:hAnsi="Garamond"/>
          <w:b/>
          <w:bCs/>
        </w:rPr>
      </w:pPr>
    </w:p>
    <w:p w:rsid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BE" w:rsidRDefault="00F270BE" w:rsidP="000D383E">
      <w:pPr>
        <w:spacing w:after="0" w:line="240" w:lineRule="auto"/>
      </w:pPr>
      <w:r>
        <w:separator/>
      </w:r>
    </w:p>
  </w:endnote>
  <w:endnote w:type="continuationSeparator" w:id="0">
    <w:p w:rsidR="00F270BE" w:rsidRDefault="00F270BE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BE" w:rsidRDefault="00F270BE" w:rsidP="000D383E">
      <w:pPr>
        <w:spacing w:after="0" w:line="240" w:lineRule="auto"/>
      </w:pPr>
      <w:r>
        <w:separator/>
      </w:r>
    </w:p>
  </w:footnote>
  <w:footnote w:type="continuationSeparator" w:id="0">
    <w:p w:rsidR="00F270BE" w:rsidRDefault="00F270BE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DA19AB" w:rsidRPr="000D383E" w:rsidRDefault="00DA19AB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="00661118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661118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DF2221">
          <w:rPr>
            <w:rFonts w:ascii="Garamond" w:hAnsi="Garamond"/>
            <w:b/>
            <w:noProof/>
            <w:sz w:val="24"/>
            <w:szCs w:val="24"/>
          </w:rPr>
          <w:t>33</w:t>
        </w:r>
        <w:r w:rsidR="00661118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DA19AB" w:rsidRDefault="00DA19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3"/>
  </w:num>
  <w:num w:numId="5">
    <w:abstractNumId w:val="4"/>
  </w:num>
  <w:num w:numId="6">
    <w:abstractNumId w:val="14"/>
  </w:num>
  <w:num w:numId="7">
    <w:abstractNumId w:val="11"/>
  </w:num>
  <w:num w:numId="8">
    <w:abstractNumId w:val="27"/>
  </w:num>
  <w:num w:numId="9">
    <w:abstractNumId w:val="22"/>
  </w:num>
  <w:num w:numId="10">
    <w:abstractNumId w:val="16"/>
  </w:num>
  <w:num w:numId="11">
    <w:abstractNumId w:val="15"/>
  </w:num>
  <w:num w:numId="12">
    <w:abstractNumId w:val="26"/>
  </w:num>
  <w:num w:numId="13">
    <w:abstractNumId w:val="19"/>
  </w:num>
  <w:num w:numId="14">
    <w:abstractNumId w:val="1"/>
  </w:num>
  <w:num w:numId="15">
    <w:abstractNumId w:val="3"/>
  </w:num>
  <w:num w:numId="16">
    <w:abstractNumId w:val="21"/>
  </w:num>
  <w:num w:numId="17">
    <w:abstractNumId w:val="13"/>
    <w:lvlOverride w:ilvl="0">
      <w:startOverride w:val="1"/>
    </w:lvlOverride>
  </w:num>
  <w:num w:numId="18">
    <w:abstractNumId w:val="25"/>
  </w:num>
  <w:num w:numId="19">
    <w:abstractNumId w:val="2"/>
  </w:num>
  <w:num w:numId="20">
    <w:abstractNumId w:val="12"/>
  </w:num>
  <w:num w:numId="21">
    <w:abstractNumId w:val="24"/>
  </w:num>
  <w:num w:numId="22">
    <w:abstractNumId w:val="18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1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1146E"/>
    <w:rsid w:val="0002286C"/>
    <w:rsid w:val="00024352"/>
    <w:rsid w:val="000308CC"/>
    <w:rsid w:val="000615A9"/>
    <w:rsid w:val="00061EC1"/>
    <w:rsid w:val="00086D79"/>
    <w:rsid w:val="000A3FAF"/>
    <w:rsid w:val="000B27BE"/>
    <w:rsid w:val="000B4690"/>
    <w:rsid w:val="000D1E1E"/>
    <w:rsid w:val="000D2A4E"/>
    <w:rsid w:val="000D383E"/>
    <w:rsid w:val="00116286"/>
    <w:rsid w:val="001220BD"/>
    <w:rsid w:val="00150B8A"/>
    <w:rsid w:val="00151D9E"/>
    <w:rsid w:val="00162889"/>
    <w:rsid w:val="00165BA3"/>
    <w:rsid w:val="00170B21"/>
    <w:rsid w:val="001748AF"/>
    <w:rsid w:val="001826DA"/>
    <w:rsid w:val="00184EF7"/>
    <w:rsid w:val="00190DE3"/>
    <w:rsid w:val="001932B2"/>
    <w:rsid w:val="0019433F"/>
    <w:rsid w:val="001D39FB"/>
    <w:rsid w:val="001D6F93"/>
    <w:rsid w:val="001E2288"/>
    <w:rsid w:val="001E3B2C"/>
    <w:rsid w:val="001E64FC"/>
    <w:rsid w:val="00205907"/>
    <w:rsid w:val="00205F6C"/>
    <w:rsid w:val="002066FD"/>
    <w:rsid w:val="002071E2"/>
    <w:rsid w:val="00220B8A"/>
    <w:rsid w:val="002224C4"/>
    <w:rsid w:val="00224F2B"/>
    <w:rsid w:val="00232C16"/>
    <w:rsid w:val="00254354"/>
    <w:rsid w:val="002643A2"/>
    <w:rsid w:val="00270F47"/>
    <w:rsid w:val="00272D63"/>
    <w:rsid w:val="0027396F"/>
    <w:rsid w:val="00274FB3"/>
    <w:rsid w:val="00292AC8"/>
    <w:rsid w:val="00295FDA"/>
    <w:rsid w:val="002A17FA"/>
    <w:rsid w:val="002A3702"/>
    <w:rsid w:val="002A3B53"/>
    <w:rsid w:val="002A4DDE"/>
    <w:rsid w:val="002A5FB6"/>
    <w:rsid w:val="002B6317"/>
    <w:rsid w:val="002C0D87"/>
    <w:rsid w:val="002C112C"/>
    <w:rsid w:val="002C3949"/>
    <w:rsid w:val="002C4D95"/>
    <w:rsid w:val="002D124C"/>
    <w:rsid w:val="002D6BC8"/>
    <w:rsid w:val="002E6605"/>
    <w:rsid w:val="0030382A"/>
    <w:rsid w:val="00303A24"/>
    <w:rsid w:val="00311CB7"/>
    <w:rsid w:val="00324801"/>
    <w:rsid w:val="00327166"/>
    <w:rsid w:val="00335A7E"/>
    <w:rsid w:val="003412A1"/>
    <w:rsid w:val="00341AA6"/>
    <w:rsid w:val="00342E27"/>
    <w:rsid w:val="00346796"/>
    <w:rsid w:val="003471B6"/>
    <w:rsid w:val="00355FA5"/>
    <w:rsid w:val="003612EA"/>
    <w:rsid w:val="00361899"/>
    <w:rsid w:val="00365A08"/>
    <w:rsid w:val="00366378"/>
    <w:rsid w:val="0039535A"/>
    <w:rsid w:val="00395BEC"/>
    <w:rsid w:val="003A12EC"/>
    <w:rsid w:val="003B6DF2"/>
    <w:rsid w:val="003C0A36"/>
    <w:rsid w:val="003C7962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4007B"/>
    <w:rsid w:val="004418DA"/>
    <w:rsid w:val="00444FA4"/>
    <w:rsid w:val="004516AE"/>
    <w:rsid w:val="00480952"/>
    <w:rsid w:val="00484848"/>
    <w:rsid w:val="004A1FCF"/>
    <w:rsid w:val="004A542B"/>
    <w:rsid w:val="004A798A"/>
    <w:rsid w:val="004C0B1E"/>
    <w:rsid w:val="004C7990"/>
    <w:rsid w:val="004D1B20"/>
    <w:rsid w:val="004D67B9"/>
    <w:rsid w:val="00520CEE"/>
    <w:rsid w:val="00540E57"/>
    <w:rsid w:val="0056357A"/>
    <w:rsid w:val="0057482D"/>
    <w:rsid w:val="005750D2"/>
    <w:rsid w:val="00590C48"/>
    <w:rsid w:val="00594F30"/>
    <w:rsid w:val="005A130A"/>
    <w:rsid w:val="005A37E7"/>
    <w:rsid w:val="005A3DAC"/>
    <w:rsid w:val="005A57C4"/>
    <w:rsid w:val="005C1880"/>
    <w:rsid w:val="005D46AF"/>
    <w:rsid w:val="005E14AB"/>
    <w:rsid w:val="005E1939"/>
    <w:rsid w:val="005F16F8"/>
    <w:rsid w:val="00604424"/>
    <w:rsid w:val="00612C86"/>
    <w:rsid w:val="00620E9E"/>
    <w:rsid w:val="006228F1"/>
    <w:rsid w:val="006244CA"/>
    <w:rsid w:val="00624C16"/>
    <w:rsid w:val="00636A70"/>
    <w:rsid w:val="00650689"/>
    <w:rsid w:val="00661118"/>
    <w:rsid w:val="0066312C"/>
    <w:rsid w:val="00677E83"/>
    <w:rsid w:val="00684E9B"/>
    <w:rsid w:val="00686E2E"/>
    <w:rsid w:val="00694EE3"/>
    <w:rsid w:val="006C134D"/>
    <w:rsid w:val="006C60AB"/>
    <w:rsid w:val="006E1822"/>
    <w:rsid w:val="006E4752"/>
    <w:rsid w:val="006E7A28"/>
    <w:rsid w:val="00702006"/>
    <w:rsid w:val="0070672C"/>
    <w:rsid w:val="00737ABC"/>
    <w:rsid w:val="00751E92"/>
    <w:rsid w:val="0075719D"/>
    <w:rsid w:val="00757E07"/>
    <w:rsid w:val="00782958"/>
    <w:rsid w:val="00782FBF"/>
    <w:rsid w:val="00785D0C"/>
    <w:rsid w:val="00791855"/>
    <w:rsid w:val="007A5536"/>
    <w:rsid w:val="007A5A7D"/>
    <w:rsid w:val="007A74E4"/>
    <w:rsid w:val="007A78A9"/>
    <w:rsid w:val="007B1677"/>
    <w:rsid w:val="007B323B"/>
    <w:rsid w:val="007B44C6"/>
    <w:rsid w:val="007D34AE"/>
    <w:rsid w:val="007D7106"/>
    <w:rsid w:val="007E0EDE"/>
    <w:rsid w:val="007F0450"/>
    <w:rsid w:val="007F0B22"/>
    <w:rsid w:val="007F58C7"/>
    <w:rsid w:val="00801900"/>
    <w:rsid w:val="00814B29"/>
    <w:rsid w:val="008169B2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7DE3"/>
    <w:rsid w:val="008B3C15"/>
    <w:rsid w:val="008B4DBB"/>
    <w:rsid w:val="008C5422"/>
    <w:rsid w:val="008C630F"/>
    <w:rsid w:val="008F5143"/>
    <w:rsid w:val="00915D61"/>
    <w:rsid w:val="0093086A"/>
    <w:rsid w:val="009614A6"/>
    <w:rsid w:val="00963701"/>
    <w:rsid w:val="009774AC"/>
    <w:rsid w:val="009857C6"/>
    <w:rsid w:val="00985A48"/>
    <w:rsid w:val="00996638"/>
    <w:rsid w:val="009A54F0"/>
    <w:rsid w:val="009B2968"/>
    <w:rsid w:val="009C7B67"/>
    <w:rsid w:val="009D28E5"/>
    <w:rsid w:val="009E1603"/>
    <w:rsid w:val="009E23EB"/>
    <w:rsid w:val="009E3BD5"/>
    <w:rsid w:val="00A16C6D"/>
    <w:rsid w:val="00A268D6"/>
    <w:rsid w:val="00A303B5"/>
    <w:rsid w:val="00A31543"/>
    <w:rsid w:val="00A41B56"/>
    <w:rsid w:val="00A458E4"/>
    <w:rsid w:val="00A55989"/>
    <w:rsid w:val="00A62A42"/>
    <w:rsid w:val="00A70122"/>
    <w:rsid w:val="00A729BB"/>
    <w:rsid w:val="00A90768"/>
    <w:rsid w:val="00A90E2E"/>
    <w:rsid w:val="00AA0BE2"/>
    <w:rsid w:val="00AB05C8"/>
    <w:rsid w:val="00AB5C89"/>
    <w:rsid w:val="00AC4FDE"/>
    <w:rsid w:val="00AD3B17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523A8"/>
    <w:rsid w:val="00B71F34"/>
    <w:rsid w:val="00B72F7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E1202"/>
    <w:rsid w:val="00BE616A"/>
    <w:rsid w:val="00C000E2"/>
    <w:rsid w:val="00C22E6D"/>
    <w:rsid w:val="00C56224"/>
    <w:rsid w:val="00C71F74"/>
    <w:rsid w:val="00C75EAA"/>
    <w:rsid w:val="00C87C96"/>
    <w:rsid w:val="00C91784"/>
    <w:rsid w:val="00C94A80"/>
    <w:rsid w:val="00CB0708"/>
    <w:rsid w:val="00CB5267"/>
    <w:rsid w:val="00CB6162"/>
    <w:rsid w:val="00CC06CD"/>
    <w:rsid w:val="00CE0043"/>
    <w:rsid w:val="00CE3174"/>
    <w:rsid w:val="00CF0496"/>
    <w:rsid w:val="00D20F23"/>
    <w:rsid w:val="00D333C6"/>
    <w:rsid w:val="00D453F6"/>
    <w:rsid w:val="00D45D20"/>
    <w:rsid w:val="00D60135"/>
    <w:rsid w:val="00D66060"/>
    <w:rsid w:val="00D66F09"/>
    <w:rsid w:val="00D715EA"/>
    <w:rsid w:val="00D80241"/>
    <w:rsid w:val="00D8528F"/>
    <w:rsid w:val="00D95747"/>
    <w:rsid w:val="00DA19AB"/>
    <w:rsid w:val="00DA3A84"/>
    <w:rsid w:val="00DA7EE5"/>
    <w:rsid w:val="00DB3A46"/>
    <w:rsid w:val="00DB55B3"/>
    <w:rsid w:val="00DC16CF"/>
    <w:rsid w:val="00DC2D38"/>
    <w:rsid w:val="00DC3915"/>
    <w:rsid w:val="00DC67F7"/>
    <w:rsid w:val="00DE4776"/>
    <w:rsid w:val="00DF2221"/>
    <w:rsid w:val="00E01D2F"/>
    <w:rsid w:val="00E12CDF"/>
    <w:rsid w:val="00E15472"/>
    <w:rsid w:val="00E23385"/>
    <w:rsid w:val="00E27360"/>
    <w:rsid w:val="00E35DC5"/>
    <w:rsid w:val="00E40577"/>
    <w:rsid w:val="00E51088"/>
    <w:rsid w:val="00E52BA1"/>
    <w:rsid w:val="00E539D6"/>
    <w:rsid w:val="00E57F2E"/>
    <w:rsid w:val="00E6127E"/>
    <w:rsid w:val="00E62DA2"/>
    <w:rsid w:val="00E64027"/>
    <w:rsid w:val="00E7162F"/>
    <w:rsid w:val="00E72DEF"/>
    <w:rsid w:val="00E749DE"/>
    <w:rsid w:val="00E77A8E"/>
    <w:rsid w:val="00E80E9C"/>
    <w:rsid w:val="00E82F90"/>
    <w:rsid w:val="00EA5871"/>
    <w:rsid w:val="00EB5E95"/>
    <w:rsid w:val="00EC05E4"/>
    <w:rsid w:val="00EC3605"/>
    <w:rsid w:val="00EE4CFB"/>
    <w:rsid w:val="00EF3CDB"/>
    <w:rsid w:val="00EF48E6"/>
    <w:rsid w:val="00F0603D"/>
    <w:rsid w:val="00F0649A"/>
    <w:rsid w:val="00F10377"/>
    <w:rsid w:val="00F1436B"/>
    <w:rsid w:val="00F157DF"/>
    <w:rsid w:val="00F20A97"/>
    <w:rsid w:val="00F20D10"/>
    <w:rsid w:val="00F240E1"/>
    <w:rsid w:val="00F270BE"/>
    <w:rsid w:val="00F27B8E"/>
    <w:rsid w:val="00F50919"/>
    <w:rsid w:val="00F50C6E"/>
    <w:rsid w:val="00F70731"/>
    <w:rsid w:val="00F80903"/>
    <w:rsid w:val="00F835CA"/>
    <w:rsid w:val="00F96338"/>
    <w:rsid w:val="00FB3FBD"/>
    <w:rsid w:val="00FC3508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FC5B-DBCB-48F4-9F25-4C6122F5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9195</Words>
  <Characters>54254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101</cp:revision>
  <cp:lastPrinted>2019-05-30T12:11:00Z</cp:lastPrinted>
  <dcterms:created xsi:type="dcterms:W3CDTF">2018-10-23T08:30:00Z</dcterms:created>
  <dcterms:modified xsi:type="dcterms:W3CDTF">2019-06-28T11:02:00Z</dcterms:modified>
</cp:coreProperties>
</file>