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20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Spr</w:t>
      </w:r>
      <w:proofErr w:type="spellEnd"/>
      <w:r w:rsidR="004B71D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 xml:space="preserve"> </w:t>
      </w:r>
      <w:r w:rsidR="0073291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177</w:t>
      </w:r>
      <w:r w:rsidR="004B71D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/20</w:t>
      </w:r>
      <w:r w:rsidR="0073291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20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</w:p>
    <w:p w:rsidR="00057CA7" w:rsidRDefault="00617762" w:rsidP="00617762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I</w:t>
      </w:r>
      <w:r w:rsidR="00057C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nterní protikorupční program</w:t>
      </w:r>
    </w:p>
    <w:p w:rsidR="00057CA7" w:rsidRDefault="00617762" w:rsidP="00617762">
      <w:pPr>
        <w:autoSpaceDE w:val="0"/>
        <w:autoSpaceDN w:val="0"/>
        <w:adjustRightInd w:val="0"/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0"/>
          <w:szCs w:val="40"/>
        </w:rPr>
        <w:t>Okresního soudu Plzeň - sever</w:t>
      </w:r>
    </w:p>
    <w:p w:rsidR="00617762" w:rsidRDefault="00617762" w:rsidP="00617762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057CA7" w:rsidRDefault="00057CA7" w:rsidP="00617762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Aktualizované znění k 30.</w:t>
      </w:r>
      <w:r w:rsidR="004B71DB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6.</w:t>
      </w:r>
      <w:r w:rsidR="004B71DB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20</w:t>
      </w:r>
      <w:r w:rsidR="00732916">
        <w:rPr>
          <w:rFonts w:ascii="TimesNewRomanPSMT" w:hAnsi="TimesNewRomanPSMT" w:cs="TimesNewRomanPSMT"/>
          <w:color w:val="000000"/>
          <w:sz w:val="32"/>
          <w:szCs w:val="32"/>
        </w:rPr>
        <w:t>20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ItalicMT" w:hAnsi="TimesNewRomanPS-ItalicMT" w:cs="TimesNewRomanPS-ItalicMT"/>
          <w:i/>
          <w:iCs/>
          <w:color w:val="000000"/>
          <w:sz w:val="22"/>
        </w:rPr>
      </w:pPr>
    </w:p>
    <w:p w:rsidR="00057CA7" w:rsidRDefault="00057CA7" w:rsidP="00617762">
      <w:pPr>
        <w:autoSpaceDE w:val="0"/>
        <w:autoSpaceDN w:val="0"/>
        <w:adjustRightInd w:val="0"/>
        <w:spacing w:after="0"/>
        <w:ind w:left="4248" w:firstLine="708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</w:rPr>
        <w:t xml:space="preserve">schválil: </w:t>
      </w:r>
      <w:r w:rsidR="0073291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Mgr. Antonín Pektor</w:t>
      </w:r>
      <w:r w:rsidR="0061776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</w:p>
    <w:p w:rsidR="00057CA7" w:rsidRDefault="00617762" w:rsidP="00617762">
      <w:pPr>
        <w:autoSpaceDE w:val="0"/>
        <w:autoSpaceDN w:val="0"/>
        <w:adjustRightInd w:val="0"/>
        <w:spacing w:after="0"/>
        <w:ind w:left="4248" w:firstLine="708"/>
        <w:jc w:val="left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    </w:t>
      </w:r>
      <w:r w:rsidR="0073291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 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předsed</w:t>
      </w:r>
      <w:r w:rsidR="0073291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a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soudu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057CA7" w:rsidRDefault="00057CA7" w:rsidP="0061776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2</w:t>
      </w:r>
    </w:p>
    <w:p w:rsidR="00B97831" w:rsidRDefault="00B97831" w:rsidP="0061776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57CA7" w:rsidRDefault="00057CA7" w:rsidP="0061776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Obsah</w:t>
      </w:r>
    </w:p>
    <w:p w:rsidR="00057CA7" w:rsidRDefault="00057CA7" w:rsidP="00617762">
      <w:pPr>
        <w:autoSpaceDE w:val="0"/>
        <w:autoSpaceDN w:val="0"/>
        <w:adjustRightInd w:val="0"/>
        <w:spacing w:after="0"/>
        <w:ind w:left="7788" w:firstLine="708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strana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A. Preambule </w:t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Cs w:val="24"/>
        </w:rPr>
        <w:t>3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B.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nterní protikorupční program </w:t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Cs w:val="24"/>
        </w:rPr>
        <w:t>4</w:t>
      </w:r>
    </w:p>
    <w:p w:rsidR="00057CA7" w:rsidRDefault="00617762" w:rsidP="00617762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Okresního soudu Plzeň - sever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1. Vytváření a posilování protikorupčního klimatu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4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1.1 Propagace protikorupčního postoje vedoucími pracovníky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4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1.2 Etický kodex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5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1.3 Vzdělávání zaměstnanců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6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1.4 Systém pro oznámení podezření na korupci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6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1.5 Ochrana oznamovatelů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7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2. Transparentnost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8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2.1 Zveřejňování informací o veřejných prostředcích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8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2.2 Zveřejňování informací o systému rozhodování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9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3. Řízení korupčních rizik a monitoring kontrol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10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3.1 Hodnocení korupčních rizik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10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3.2 Monitoring kontrolních mechanismů odhalujících korupci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11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Pr="00F245AA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4. Postupy při podezření na korupci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F245AA" w:rsidRPr="00F245AA">
        <w:rPr>
          <w:rFonts w:ascii="TimesNewRomanPS-BoldMT" w:hAnsi="TimesNewRomanPS-BoldMT" w:cs="TimesNewRomanPS-BoldMT"/>
          <w:bCs/>
          <w:color w:val="000000"/>
          <w:szCs w:val="24"/>
        </w:rPr>
        <w:t>11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4.1 Postupy při prošetřování podezření na korupci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F245AA">
        <w:rPr>
          <w:rFonts w:ascii="TimesNewRomanPSMT" w:hAnsi="TimesNewRomanPSMT" w:cs="TimesNewRomanPSMT"/>
          <w:color w:val="000000"/>
          <w:szCs w:val="24"/>
        </w:rPr>
        <w:t>11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4.2 Následná opatření </w:t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 w:rsidR="0061776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12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5. Vyhodnocování interního protikorupčního programu </w:t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17762">
        <w:rPr>
          <w:rFonts w:ascii="TimesNewRomanPS-BoldMT" w:hAnsi="TimesNewRomanPS-BoldMT" w:cs="TimesNewRomanPS-BoldMT"/>
          <w:b/>
          <w:bCs/>
          <w:color w:val="000000"/>
          <w:szCs w:val="24"/>
        </w:rPr>
        <w:tab/>
      </w:r>
      <w:r w:rsidR="00644758" w:rsidRPr="00644758">
        <w:rPr>
          <w:rFonts w:ascii="TimesNewRomanPS-BoldMT" w:hAnsi="TimesNewRomanPS-BoldMT" w:cs="TimesNewRomanPS-BoldMT"/>
          <w:bCs/>
          <w:color w:val="000000"/>
          <w:szCs w:val="24"/>
        </w:rPr>
        <w:t>12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5.1 Shromáždění údajů a vyhodnocení interního protikorupčního programu</w:t>
      </w:r>
    </w:p>
    <w:p w:rsidR="00057CA7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      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jednotlivými organizačními celky </w:t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F245AA">
        <w:rPr>
          <w:rFonts w:ascii="TimesNewRomanPSMT" w:hAnsi="TimesNewRomanPSMT" w:cs="TimesNewRomanPSMT"/>
          <w:color w:val="000000"/>
          <w:szCs w:val="24"/>
        </w:rPr>
        <w:t>12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5.2 Zpráva o resortním interním protikorupčním programu </w:t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F245AA">
        <w:rPr>
          <w:rFonts w:ascii="TimesNewRomanPSMT" w:hAnsi="TimesNewRomanPSMT" w:cs="TimesNewRomanPSMT"/>
          <w:color w:val="000000"/>
          <w:szCs w:val="24"/>
        </w:rPr>
        <w:t>12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5.3 Aktualizace resortního interního protikorupčního programu </w:t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B97831">
        <w:rPr>
          <w:rFonts w:ascii="TimesNewRomanPSMT" w:hAnsi="TimesNewRomanPSMT" w:cs="TimesNewRomanPSMT"/>
          <w:color w:val="000000"/>
          <w:szCs w:val="24"/>
        </w:rPr>
        <w:tab/>
      </w:r>
      <w:r w:rsidR="00F245AA">
        <w:rPr>
          <w:rFonts w:ascii="TimesNewRomanPSMT" w:hAnsi="TimesNewRomanPSMT" w:cs="TimesNewRomanPSMT"/>
          <w:color w:val="000000"/>
          <w:szCs w:val="24"/>
        </w:rPr>
        <w:t>12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C. Závěr </w:t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B9783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644758" w:rsidRPr="00644758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13</w:t>
      </w:r>
    </w:p>
    <w:p w:rsidR="00617762" w:rsidRDefault="00617762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057CA7" w:rsidRDefault="00057CA7" w:rsidP="00B9783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3</w:t>
      </w:r>
    </w:p>
    <w:p w:rsidR="00B97831" w:rsidRDefault="00B97831" w:rsidP="00B9783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57CA7" w:rsidRDefault="00057CA7" w:rsidP="00B9783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A. Preambule</w:t>
      </w:r>
    </w:p>
    <w:p w:rsidR="00B97831" w:rsidRDefault="00B97831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B97831" w:rsidRDefault="00B97831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9108A2">
      <w:pPr>
        <w:spacing w:after="0"/>
        <w:rPr>
          <w:rFonts w:ascii="TimesNewRomanPSMT" w:hAnsi="TimesNewRomanPSMT" w:cs="TimesNewRomanPSMT"/>
          <w:color w:val="000000"/>
          <w:szCs w:val="24"/>
        </w:rPr>
      </w:pPr>
      <w:r w:rsidRPr="00AC1F5D">
        <w:rPr>
          <w:rFonts w:ascii="Times New Roman" w:hAnsi="Times New Roman" w:cs="Times New Roman"/>
        </w:rPr>
        <w:t xml:space="preserve">Z hlediska společenské škodlivosti lze </w:t>
      </w:r>
      <w:r w:rsidRPr="00AC1F5D">
        <w:rPr>
          <w:rFonts w:ascii="Times New Roman" w:hAnsi="Times New Roman" w:cs="Times New Roman"/>
          <w:b/>
          <w:bCs/>
        </w:rPr>
        <w:t xml:space="preserve">korupci </w:t>
      </w:r>
      <w:r w:rsidRPr="00AC1F5D">
        <w:rPr>
          <w:rFonts w:ascii="Times New Roman" w:hAnsi="Times New Roman" w:cs="Times New Roman"/>
        </w:rPr>
        <w:t>definovat jako zneužívání pravomoci</w:t>
      </w:r>
      <w:r w:rsidR="009108A2"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veřejných prostředků k dosažení vlastních individuálních či skupinových zájmů, které je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spojeno s porušením principu nestrannosti při rozhodování, jakož i zneužití svého postavení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 obohacení sebe nebo jiného v soukromé sféře. Motivem je získání neoprávněného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zvýhodnění pro sebe nebo jiného, na které není nárok. Pojem korupce nelze zužovat pouze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na přímé úplatkářství, dalšími formami korupce jsou rovněž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klientelismus</w:t>
      </w:r>
      <w:r>
        <w:rPr>
          <w:rFonts w:ascii="TimesNewRomanPSMT" w:hAnsi="TimesNewRomanPSMT" w:cs="TimesNewRomanPSMT"/>
          <w:color w:val="000000"/>
          <w:szCs w:val="24"/>
        </w:rPr>
        <w:t>, propojující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politiky s podnikatelskou sférou poskytováním vzájemných výhod, a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nepotismus</w:t>
      </w:r>
      <w:r>
        <w:rPr>
          <w:rFonts w:ascii="TimesNewRomanPSMT" w:hAnsi="TimesNewRomanPSMT" w:cs="TimesNewRomanPSMT"/>
          <w:color w:val="000000"/>
          <w:szCs w:val="24"/>
        </w:rPr>
        <w:t>, spočívající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 preferování příbuzných a známých při obsazování nejrůznějších funkcí, mnohdy oproti lépe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kvalifikovaným kandidátům.</w:t>
      </w:r>
    </w:p>
    <w:p w:rsidR="00B47527" w:rsidRDefault="00B47527" w:rsidP="00AC1F5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AC1F5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Výzkumy jednoznačně potvrzují, že přes všechny individuální a skupinové iniciativy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je to stát a jeho politická reprezentace, kdo musí iniciovat skutečná opatření proti korupci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musí o jejich potřebě a účelnosti přesvědčit občany.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Protikorupční politika musí brát v úvahu komplexní charakter korupce jako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společenského jevu, zejména nelze korupci jednostranně zužovat na trestné činy úplatkářství.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V každém případě je třeba mít neustále na zřeteli, že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korupční jednání </w:t>
      </w:r>
      <w:r>
        <w:rPr>
          <w:rFonts w:ascii="TimesNewRomanPSMT" w:hAnsi="TimesNewRomanPSMT" w:cs="TimesNewRomanPSMT"/>
          <w:color w:val="000000"/>
          <w:szCs w:val="24"/>
        </w:rPr>
        <w:t>není pouze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jednání v rozporu s morálkou, ale jedná se o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trestné činy </w:t>
      </w:r>
      <w:r>
        <w:rPr>
          <w:rFonts w:ascii="TimesNewRomanPSMT" w:hAnsi="TimesNewRomanPSMT" w:cs="TimesNewRomanPSMT"/>
          <w:color w:val="000000"/>
          <w:szCs w:val="24"/>
        </w:rPr>
        <w:t>přijetí úplatku (§ 331), podplácení</w:t>
      </w:r>
      <w:r w:rsidR="009108A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(§ 332) a nepřímé úplatkářství (§ 333) dle zákona č. 40/2009 Sb., trestní zákoník.</w:t>
      </w:r>
    </w:p>
    <w:p w:rsidR="00B97831" w:rsidRDefault="00B97831" w:rsidP="00AC1F5D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9108A2" w:rsidP="00AC1F5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I</w:t>
      </w:r>
      <w:r w:rsidR="00057CA7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nterní protikorupční program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Okresního soudu Plzeň - sever</w:t>
      </w:r>
      <w:r w:rsidR="00057CA7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(dále „IPP“) je dokument, vycházející z</w:t>
      </w:r>
      <w:r>
        <w:rPr>
          <w:rFonts w:ascii="TimesNewRomanPSMT" w:hAnsi="TimesNewRomanPSMT" w:cs="TimesNewRomanPSMT"/>
          <w:color w:val="000000"/>
          <w:szCs w:val="24"/>
        </w:rPr>
        <w:t xml:space="preserve"> Resortního interního protikorupčního programu a </w:t>
      </w:r>
      <w:r w:rsidR="00057CA7">
        <w:rPr>
          <w:rFonts w:ascii="TimesNewRomanPSMT" w:hAnsi="TimesNewRomanPSMT" w:cs="TimesNewRomanPSMT"/>
          <w:color w:val="000000"/>
          <w:szCs w:val="24"/>
        </w:rPr>
        <w:t>usnesení vlády ze dne 2</w:t>
      </w:r>
      <w:r w:rsidR="009447DC">
        <w:rPr>
          <w:rFonts w:ascii="TimesNewRomanPSMT" w:hAnsi="TimesNewRomanPSMT" w:cs="TimesNewRomanPSMT"/>
          <w:color w:val="000000"/>
          <w:szCs w:val="24"/>
        </w:rPr>
        <w:t>0</w:t>
      </w:r>
      <w:r w:rsidR="00057CA7">
        <w:rPr>
          <w:rFonts w:ascii="TimesNewRomanPSMT" w:hAnsi="TimesNewRomanPSMT" w:cs="TimesNewRomanPSMT"/>
          <w:color w:val="000000"/>
          <w:szCs w:val="24"/>
        </w:rPr>
        <w:t>. listopadu 201</w:t>
      </w:r>
      <w:r w:rsidR="009447DC">
        <w:rPr>
          <w:rFonts w:ascii="TimesNewRomanPSMT" w:hAnsi="TimesNewRomanPSMT" w:cs="TimesNewRomanPSMT"/>
          <w:color w:val="000000"/>
          <w:szCs w:val="24"/>
        </w:rPr>
        <w:t>8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 č. </w:t>
      </w:r>
      <w:r w:rsidR="009447DC">
        <w:rPr>
          <w:rFonts w:ascii="TimesNewRomanPSMT" w:hAnsi="TimesNewRomanPSMT" w:cs="TimesNewRomanPSMT"/>
          <w:color w:val="000000"/>
          <w:szCs w:val="24"/>
        </w:rPr>
        <w:t>769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 k</w:t>
      </w:r>
      <w:r>
        <w:rPr>
          <w:rFonts w:ascii="TimesNewRomanPSMT" w:hAnsi="TimesNewRomanPSMT" w:cs="TimesNewRomanPSMT"/>
          <w:color w:val="000000"/>
          <w:szCs w:val="24"/>
        </w:rPr>
        <w:t> </w:t>
      </w:r>
      <w:r w:rsidR="00057CA7">
        <w:rPr>
          <w:rFonts w:ascii="TimesNewRomanPSMT" w:hAnsi="TimesNewRomanPSMT" w:cs="TimesNewRomanPSMT"/>
          <w:color w:val="000000"/>
          <w:szCs w:val="24"/>
        </w:rPr>
        <w:t>aktualizaci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Rámcového resortního interního protikorupčního programu. Tento program vnáší do řídícího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a kontrolního systému v oblastech, v nichž by mohlo dojít ke korupčnímu jednání, takové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prvky, které svým charakterem brání vzniku možného korupčního jednání. Zároveň pojmově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definuje korupční jednání v širším smyslu, nejen jako přijímání úplatků a podplácení.</w:t>
      </w:r>
    </w:p>
    <w:p w:rsidR="00B97831" w:rsidRDefault="00B97831" w:rsidP="00AC1F5D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B978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IPP  </w:t>
      </w:r>
      <w:r>
        <w:rPr>
          <w:rFonts w:ascii="TimesNewRomanPSMT" w:hAnsi="TimesNewRomanPSMT" w:cs="TimesNewRomanPSMT"/>
          <w:color w:val="000000"/>
          <w:szCs w:val="24"/>
        </w:rPr>
        <w:t xml:space="preserve">bylo vytvořit na </w:t>
      </w:r>
      <w:r w:rsidR="003F71A9">
        <w:rPr>
          <w:rFonts w:ascii="TimesNewRomanPSMT" w:hAnsi="TimesNewRomanPSMT" w:cs="TimesNewRomanPSMT"/>
          <w:color w:val="000000"/>
          <w:szCs w:val="24"/>
        </w:rPr>
        <w:t>Okresním soudu Plzeň - sever</w:t>
      </w:r>
      <w:r>
        <w:rPr>
          <w:rFonts w:ascii="TimesNewRomanPSMT" w:hAnsi="TimesNewRomanPSMT" w:cs="TimesNewRomanPSMT"/>
          <w:color w:val="000000"/>
          <w:szCs w:val="24"/>
        </w:rPr>
        <w:t xml:space="preserve"> prostředí odmítající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korupci, vhodnými průběžně přijímanými opatřeními toto prostředí posilovat, zejména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osvětou, posilováním morální integrity zaměstnanců a aktivní propagací etických zásad, např.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 rámci vzdělávání zaměstnanců, propagací protikorupčního postoje vedoucími pracovníky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naplňováním Etického kodexu zaměstnance</w:t>
      </w:r>
      <w:r w:rsidR="003F71A9">
        <w:rPr>
          <w:rFonts w:ascii="TimesNewRomanPSMT" w:hAnsi="TimesNewRomanPSMT" w:cs="TimesNewRomanPSMT"/>
          <w:color w:val="000000"/>
          <w:szCs w:val="24"/>
        </w:rPr>
        <w:t>.</w:t>
      </w:r>
      <w:r>
        <w:rPr>
          <w:rFonts w:ascii="TimesNewRomanPSMT" w:hAnsi="TimesNewRomanPSMT" w:cs="TimesNewRomanPSMT"/>
          <w:color w:val="000000"/>
          <w:szCs w:val="24"/>
        </w:rPr>
        <w:t xml:space="preserve"> Nedílnou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součástí podpory protikorupčního prostředí je nastavení systému pro oznámení podezření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na korupci a ochrana oznamovatelů.</w:t>
      </w:r>
    </w:p>
    <w:p w:rsidR="00057CA7" w:rsidRDefault="00057CA7" w:rsidP="00B97831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RIPP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MSp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by měl sloužit k včasnému rozpoznání korupčních rizik, objektivně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existujících či subjektivně předpokládaných v procesech, probíhajících v rámci veškeré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činnosti </w:t>
      </w:r>
      <w:r w:rsidR="003F71A9">
        <w:rPr>
          <w:rFonts w:ascii="TimesNewRomanPSMT" w:hAnsi="TimesNewRomanPSMT" w:cs="TimesNewRomanPSMT"/>
          <w:color w:val="000000"/>
          <w:szCs w:val="24"/>
        </w:rPr>
        <w:t>soudu</w:t>
      </w:r>
      <w:r>
        <w:rPr>
          <w:rFonts w:ascii="TimesNewRomanPSMT" w:hAnsi="TimesNewRomanPSMT" w:cs="TimesNewRomanPSMT"/>
          <w:color w:val="000000"/>
          <w:szCs w:val="24"/>
        </w:rPr>
        <w:t>. Současně by měl obsahovat preventivní opatření, eliminující tato korupční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rizika již v zárodku. Nástrojem pro řízení korupčních rizik a jejich minimalizaci je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Katalog</w:t>
      </w:r>
      <w:r w:rsidR="003F71A9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korupčních rizik, </w:t>
      </w:r>
      <w:r>
        <w:rPr>
          <w:rFonts w:ascii="TimesNewRomanPSMT" w:hAnsi="TimesNewRomanPSMT" w:cs="TimesNewRomanPSMT"/>
          <w:color w:val="000000"/>
          <w:szCs w:val="24"/>
        </w:rPr>
        <w:t>kde důležitým prvkem je významnost rizika. Ke zvládání rizik s</w:t>
      </w:r>
      <w:r w:rsidR="003F71A9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vysokou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mírou významnosti je třeba nastavit kontrolní mechanismy. U rizik s menší mírou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pravděpodobnosti výskytu klást důraz na dodržování Etického kodexu zaměstnanců </w:t>
      </w:r>
      <w:r w:rsidR="003F71A9">
        <w:rPr>
          <w:rFonts w:ascii="TimesNewRomanPSMT" w:hAnsi="TimesNewRomanPSMT" w:cs="TimesNewRomanPSMT"/>
          <w:color w:val="000000"/>
          <w:szCs w:val="24"/>
        </w:rPr>
        <w:t>soudu</w:t>
      </w:r>
      <w:r>
        <w:rPr>
          <w:rFonts w:ascii="TimesNewRomanPSMT" w:hAnsi="TimesNewRomanPSMT" w:cs="TimesNewRomanPSMT"/>
          <w:color w:val="000000"/>
          <w:szCs w:val="24"/>
        </w:rPr>
        <w:t>, vzdělávání zaměstnanců, výběr zaměstnanců, nastavení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systému pro oznamování korupce.</w:t>
      </w:r>
    </w:p>
    <w:p w:rsidR="00B97831" w:rsidRDefault="00B97831" w:rsidP="00057CA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</w:p>
    <w:p w:rsidR="00057CA7" w:rsidRDefault="00057CA7" w:rsidP="003F71A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4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3F71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Hlavním cílem řízení korupčních rizik je ochránit majetek státu a minimalizovat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škody. Aktivním řízením korupčních rizik by IPP  měl vnášet do řídicího systému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takové prvky, které již svým charakterem brání vzniku možného korupčního prostředí nebo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možnosti nepřímého zvýhodňování. K tomu by měla napomáhat funkčnost kontrolních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mechanismů v těchto oblastech, pravidelné hodnocení korupčních rizik a prověřování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rizikových oblastí.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Aktualizované znění IPP  pro rok 2018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- 2019</w:t>
      </w:r>
      <w:r>
        <w:rPr>
          <w:rFonts w:ascii="TimesNewRomanPSMT" w:hAnsi="TimesNewRomanPSMT" w:cs="TimesNewRomanPSMT"/>
          <w:color w:val="000000"/>
          <w:szCs w:val="24"/>
        </w:rPr>
        <w:t xml:space="preserve"> je upraveno v</w:t>
      </w:r>
      <w:r w:rsidR="003F71A9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návaznosti</w:t>
      </w:r>
      <w:r w:rsidR="003F71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na vyhodnocení poznatků o plnění úkolů stanovených v IPP v</w:t>
      </w:r>
      <w:r w:rsidR="003F71A9">
        <w:rPr>
          <w:rFonts w:ascii="TimesNewRomanPSMT" w:hAnsi="TimesNewRomanPSMT" w:cs="TimesNewRomanPSMT"/>
          <w:color w:val="000000"/>
          <w:szCs w:val="24"/>
        </w:rPr>
        <w:t> letech 2016 -</w:t>
      </w:r>
      <w:r>
        <w:rPr>
          <w:rFonts w:ascii="TimesNewRomanPSMT" w:hAnsi="TimesNewRomanPSMT" w:cs="TimesNewRomanPSMT"/>
          <w:color w:val="000000"/>
          <w:szCs w:val="24"/>
        </w:rPr>
        <w:t xml:space="preserve"> 2017.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3F71A9" w:rsidRDefault="00057CA7" w:rsidP="003F71A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B. </w:t>
      </w:r>
      <w:r w:rsidR="003F71A9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nterní protikorupční program </w:t>
      </w:r>
      <w:r w:rsidR="003F71A9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Okresního soudu</w:t>
      </w:r>
    </w:p>
    <w:p w:rsidR="00057CA7" w:rsidRDefault="003F71A9" w:rsidP="003F71A9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Plzeň - sever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Popis základních pojmů: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3F71A9" w:rsidP="00B1701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V</w:t>
      </w:r>
      <w:r w:rsidR="00057CA7">
        <w:rPr>
          <w:rFonts w:ascii="TimesNewRomanPS-BoldMT" w:hAnsi="TimesNewRomanPS-BoldMT" w:cs="TimesNewRomanPS-BoldMT"/>
          <w:b/>
          <w:bCs/>
          <w:color w:val="000000"/>
          <w:szCs w:val="24"/>
        </w:rPr>
        <w:t>edoucí zaměstnanec</w:t>
      </w:r>
      <w:r w:rsidR="00057CA7">
        <w:rPr>
          <w:rFonts w:ascii="TimesNewRomanPSMT" w:hAnsi="TimesNewRomanPSMT" w:cs="TimesNewRomanPSMT"/>
          <w:color w:val="000000"/>
          <w:szCs w:val="24"/>
        </w:rPr>
        <w:t>: vedoucím zaměstnancem se pro účely tohoto materiálu rozumí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vedoucí zaměstnanec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v pracovním poměru ve smyslu zákoníku práce, a 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to </w:t>
      </w:r>
      <w:r>
        <w:rPr>
          <w:rFonts w:ascii="TimesNewRomanPSMT" w:hAnsi="TimesNewRomanPSMT" w:cs="TimesNewRomanPSMT"/>
          <w:color w:val="000000"/>
          <w:szCs w:val="24"/>
        </w:rPr>
        <w:t>předseda soudu, místopředseda soudu, ředitel správy a dozorčí úřednice</w:t>
      </w:r>
      <w:r w:rsidR="00057CA7">
        <w:rPr>
          <w:rFonts w:ascii="TimesNewRomanPSMT" w:hAnsi="TimesNewRomanPSMT" w:cs="TimesNewRomanPSMT"/>
          <w:color w:val="000000"/>
          <w:szCs w:val="24"/>
        </w:rPr>
        <w:t>.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Zaměstnanec</w:t>
      </w:r>
      <w:r>
        <w:rPr>
          <w:rFonts w:ascii="TimesNewRomanPSMT" w:hAnsi="TimesNewRomanPSMT" w:cs="TimesNewRomanPSMT"/>
          <w:color w:val="000000"/>
          <w:szCs w:val="24"/>
        </w:rPr>
        <w:t>: zaměstnancem se dále rozumí zaměstnanec v pracovním poměru ve smyslu zákoníku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práce.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Vytváření a posilování protikorupčního klimatu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</w:t>
      </w:r>
      <w:r>
        <w:rPr>
          <w:rFonts w:ascii="TimesNewRomanPSMT" w:hAnsi="TimesNewRomanPSMT" w:cs="TimesNewRomanPSMT"/>
          <w:color w:val="000000"/>
          <w:szCs w:val="24"/>
        </w:rPr>
        <w:t>je snižovat motivaci zaměstnanců ke korupci a zvyšovat pravděpodobnost jejího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odhalení.</w:t>
      </w:r>
    </w:p>
    <w:p w:rsidR="003F71A9" w:rsidRDefault="003F71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1.1 Propagace protikorupčního postoje vedoucími pracovníky</w:t>
      </w:r>
    </w:p>
    <w:p w:rsidR="003F71A9" w:rsidRDefault="003F71A9" w:rsidP="00AC1F5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511CF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Jednou z trvalých hlavních povinností vedoucích zaměstnanců je prosazování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protikorupčních postojů. Vedle vlastní bezúhonnosti se protikorupčním postojem rozumí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zejména dodržování právních a služebních/vnitřních předpisů, zdůrazňování významu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ochrany majetku státu, zdůrazňování důležitosti dodržování etických zásad při výkonu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práce, propagace jednání odmítajícího korupci a důraz na prošetřování podezření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 výskytu korupce.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Mezi další povinnosti vedoucích zaměstnanců patří dále seznamování podřízených s</w:t>
      </w:r>
      <w:r w:rsidR="00511CF9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možnými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korupčními riziky, včetně metod jejich předcházení a prosazování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protikorupčních opatření proti těmto rizikům.</w:t>
      </w:r>
    </w:p>
    <w:p w:rsidR="00511CF9" w:rsidRDefault="00511CF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511CF9" w:rsidRDefault="00511CF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B1701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1.1.1 Věnovat prostor problematice boje s korupcí na poradách a aktivně prosazovat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protikorupční postoje.</w:t>
      </w:r>
    </w:p>
    <w:p w:rsidR="00511CF9" w:rsidRDefault="00511CF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511CF9">
        <w:rPr>
          <w:rFonts w:ascii="TimesNewRomanPSMT" w:hAnsi="TimesNewRomanPSMT" w:cs="TimesNewRomanPSMT"/>
          <w:color w:val="000000"/>
          <w:szCs w:val="24"/>
        </w:rPr>
        <w:t xml:space="preserve">        </w:t>
      </w:r>
      <w:r>
        <w:rPr>
          <w:rFonts w:ascii="TimesNewRomanPSMT" w:hAnsi="TimesNewRomanPSMT" w:cs="TimesNewRomanPSMT"/>
          <w:color w:val="000000"/>
          <w:szCs w:val="24"/>
        </w:rPr>
        <w:t>všichni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511CF9">
        <w:rPr>
          <w:rFonts w:ascii="TimesNewRomanPSMT" w:hAnsi="TimesNewRomanPSMT" w:cs="TimesNewRomanPSMT"/>
          <w:color w:val="000000"/>
          <w:szCs w:val="24"/>
        </w:rPr>
        <w:tab/>
        <w:t xml:space="preserve">        </w:t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057CA7" w:rsidRDefault="00057CA7" w:rsidP="0038667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5</w:t>
      </w:r>
    </w:p>
    <w:p w:rsidR="00386672" w:rsidRDefault="0038667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386672" w:rsidRDefault="0038667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B1701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1.1.2 V rámci </w:t>
      </w:r>
      <w:r w:rsidR="00386672">
        <w:rPr>
          <w:rFonts w:ascii="TimesNewRomanPSMT" w:hAnsi="TimesNewRomanPSMT" w:cs="TimesNewRomanPSMT"/>
          <w:color w:val="000000"/>
          <w:szCs w:val="24"/>
        </w:rPr>
        <w:t>úseku</w:t>
      </w:r>
      <w:r>
        <w:rPr>
          <w:rFonts w:ascii="TimesNewRomanPSMT" w:hAnsi="TimesNewRomanPSMT" w:cs="TimesNewRomanPSMT"/>
          <w:color w:val="000000"/>
          <w:szCs w:val="24"/>
        </w:rPr>
        <w:t>, kde se korupční jednání vyskytlo, projednat zobecněné</w:t>
      </w:r>
      <w:r w:rsidR="0038667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informace se zaměstnanci spolu s opatřeními přijatými k nápravě. Informovat</w:t>
      </w:r>
      <w:r w:rsidR="0038667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 případech korupčního jednání v obecné rovině na pracovních poradách</w:t>
      </w:r>
      <w:r w:rsidR="00B1701F">
        <w:rPr>
          <w:rFonts w:ascii="TimesNewRomanPSMT" w:hAnsi="TimesNewRomanPSMT" w:cs="TimesNewRomanPSMT"/>
          <w:color w:val="000000"/>
          <w:szCs w:val="24"/>
        </w:rPr>
        <w:t>.</w:t>
      </w:r>
    </w:p>
    <w:p w:rsidR="00386672" w:rsidRDefault="0038667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386672">
        <w:rPr>
          <w:rFonts w:ascii="TimesNewRomanPSMT" w:hAnsi="TimesNewRomanPSMT" w:cs="TimesNewRomanPSMT"/>
          <w:color w:val="000000"/>
          <w:szCs w:val="24"/>
        </w:rPr>
        <w:tab/>
      </w:r>
      <w:r w:rsidR="0038667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všichni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386672">
        <w:rPr>
          <w:rFonts w:ascii="TimesNewRomanPSMT" w:hAnsi="TimesNewRomanPSMT" w:cs="TimesNewRomanPSMT"/>
          <w:color w:val="000000"/>
          <w:szCs w:val="24"/>
        </w:rPr>
        <w:tab/>
      </w:r>
      <w:r w:rsidR="0038667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38667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386672" w:rsidRDefault="0038667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1.2 Etický kodex</w:t>
      </w:r>
    </w:p>
    <w:p w:rsidR="00386672" w:rsidRDefault="0038667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B1701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Dne </w:t>
      </w:r>
      <w:r w:rsidR="00B1701F">
        <w:rPr>
          <w:rFonts w:ascii="TimesNewRomanPSMT" w:hAnsi="TimesNewRomanPSMT" w:cs="TimesNewRomanPSMT"/>
          <w:color w:val="000000"/>
          <w:szCs w:val="24"/>
        </w:rPr>
        <w:t>13</w:t>
      </w:r>
      <w:r>
        <w:rPr>
          <w:rFonts w:ascii="TimesNewRomanPSMT" w:hAnsi="TimesNewRomanPSMT" w:cs="TimesNewRomanPSMT"/>
          <w:color w:val="000000"/>
          <w:szCs w:val="24"/>
        </w:rPr>
        <w:t xml:space="preserve">. </w:t>
      </w:r>
      <w:r w:rsidR="00B1701F">
        <w:rPr>
          <w:rFonts w:ascii="TimesNewRomanPSMT" w:hAnsi="TimesNewRomanPSMT" w:cs="TimesNewRomanPSMT"/>
          <w:color w:val="000000"/>
          <w:szCs w:val="24"/>
        </w:rPr>
        <w:t>dubna</w:t>
      </w:r>
      <w:r>
        <w:rPr>
          <w:rFonts w:ascii="TimesNewRomanPSMT" w:hAnsi="TimesNewRomanPSMT" w:cs="TimesNewRomanPSMT"/>
          <w:color w:val="000000"/>
          <w:szCs w:val="24"/>
        </w:rPr>
        <w:t xml:space="preserve"> 201</w:t>
      </w:r>
      <w:r w:rsidR="00B1701F">
        <w:rPr>
          <w:rFonts w:ascii="TimesNewRomanPSMT" w:hAnsi="TimesNewRomanPSMT" w:cs="TimesNewRomanPSMT"/>
          <w:color w:val="000000"/>
          <w:szCs w:val="24"/>
        </w:rPr>
        <w:t>4</w:t>
      </w:r>
      <w:r>
        <w:rPr>
          <w:rFonts w:ascii="TimesNewRomanPSMT" w:hAnsi="TimesNewRomanPSMT" w:cs="TimesNewRomanPSMT"/>
          <w:color w:val="000000"/>
          <w:szCs w:val="24"/>
        </w:rPr>
        <w:t xml:space="preserve"> byl vydán Etický kodex zaměstnance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Okresního soudu Plzeň – </w:t>
      </w:r>
      <w:proofErr w:type="gramStart"/>
      <w:r w:rsidR="00B1701F">
        <w:rPr>
          <w:rFonts w:ascii="TimesNewRomanPSMT" w:hAnsi="TimesNewRomanPSMT" w:cs="TimesNewRomanPSMT"/>
          <w:color w:val="000000"/>
          <w:szCs w:val="24"/>
        </w:rPr>
        <w:t xml:space="preserve">sever, </w:t>
      </w:r>
      <w:r>
        <w:rPr>
          <w:rFonts w:ascii="TimesNewRomanPSMT" w:hAnsi="TimesNewRomanPSMT" w:cs="TimesNewRomanPSMT"/>
          <w:color w:val="000000"/>
          <w:szCs w:val="24"/>
        </w:rPr>
        <w:t xml:space="preserve"> který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je zveřejněn na intranetu a taktéž na webu 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Justice.cz. </w:t>
      </w:r>
      <w:r>
        <w:rPr>
          <w:rFonts w:ascii="TimesNewRomanPSMT" w:hAnsi="TimesNewRomanPSMT" w:cs="TimesNewRomanPSMT"/>
          <w:color w:val="000000"/>
          <w:szCs w:val="24"/>
        </w:rPr>
        <w:t>Etický kodex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stanovuje chování a povinnosti zaměstnanců, které nevyplývají z právních či vnitřních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předpisů. Jde o souhrn základních hodnot a principů etického chování, jehož účelem je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vymezit a podporovat žádoucí standardy chování zaměstnance ve vztahu k</w:t>
      </w:r>
      <w:r w:rsidR="00B1701F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veřejnost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i </w:t>
      </w:r>
      <w:r>
        <w:rPr>
          <w:rFonts w:ascii="TimesNewRomanPSMT" w:hAnsi="TimesNewRomanPSMT" w:cs="TimesNewRomanPSMT"/>
          <w:color w:val="000000"/>
          <w:szCs w:val="24"/>
        </w:rPr>
        <w:t>a spolupracovníkům. Součástí Etického kodexu je soubor etických zásad vztahujících se</w:t>
      </w:r>
      <w:r w:rsidR="00B1701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 problematice korupce - zákaz korupčního jednání (čl. 6 Etického kodexu).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4B71D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Dodržování Etického kodexu zaměstnance hodnotí všichni vedoucí zaměstnanci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průběžně, v rámci svých řídicích kompetencí. Porušení uvedených vnitřních předpisů je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posuzováno jako porušení pracovních povinností zaměstnance ve smyslu pracovněprávních předpisů.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4B71D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1.2.1 Vedoucí zaměstnanci odpovídají v rámci své řídící funkce za seznámení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zaměstnanců s Etickým kodexem zaměstnance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Cs w:val="24"/>
        </w:rPr>
        <w:t>průběžně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hodnotí jejich dodržování svými podřízenými a výsledky zapracovávají do roční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informace o plnění tohoto úkolu.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všichni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4B71DB" w:rsidRDefault="00057CA7" w:rsidP="004B71D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1.2.2. Státní zaměstnanec nesmí v souvislosti s výkonem služby přijímat žádné dary,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které by mohly ovlivnit řádný výkon služby. </w:t>
      </w:r>
      <w:r w:rsidR="004B71DB">
        <w:rPr>
          <w:rFonts w:ascii="TimesNewRomanPSMT" w:hAnsi="TimesNewRomanPSMT" w:cs="TimesNewRomanPSMT"/>
          <w:color w:val="000000"/>
          <w:szCs w:val="24"/>
        </w:rPr>
        <w:t>Výkon služby se na Okresním soudu Plzeň – sever neprovádí a proto zde neplynou žádné úkoly.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4B71D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1.2.3. Zaměstnanec nesmí dle § 303 odst. 2 písm. a) Zákoníku práce přijímat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 souvislosti s výkonem zaměstnání dary nebo jiné výhody s výjimkou darů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nebo výhod poskytnutých</w:t>
      </w:r>
      <w:r w:rsidR="004B71DB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zaměstnavatelem nebo na základě právních předpisů.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všichni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4B71DB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4B71DB" w:rsidRDefault="004B71DB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Cs/>
          <w:color w:val="000000"/>
          <w:szCs w:val="24"/>
        </w:rPr>
      </w:pPr>
    </w:p>
    <w:p w:rsidR="004B71DB" w:rsidRPr="004B71DB" w:rsidRDefault="004B71DB" w:rsidP="0023203A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color w:val="000000"/>
          <w:szCs w:val="24"/>
        </w:rPr>
      </w:pPr>
      <w:r w:rsidRPr="004B71DB">
        <w:rPr>
          <w:rFonts w:ascii="TimesNewRomanPS-BoldMT" w:hAnsi="TimesNewRomanPS-BoldMT" w:cs="TimesNewRomanPS-BoldMT"/>
          <w:bCs/>
          <w:color w:val="000000"/>
          <w:szCs w:val="24"/>
        </w:rPr>
        <w:t>6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1.3 Vzdělávání zaměstnanců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23203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Vzdělávání zaměstnanců v protikorupční problematice je zaměřeno na význam ochrany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majetku státu, vysvětlování obsahu etického kodexu, zvyšování schopnosti rozpoznat korupci,</w:t>
      </w:r>
    </w:p>
    <w:p w:rsidR="00057CA7" w:rsidRDefault="00057CA7" w:rsidP="0023203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zvyšování povědomí o ochraně zaměstnanců, kteří podezření na korupci oznámili,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na postupy organizace při prošetřování oznámení o podezření na korupční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jednání.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23203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Oblast protikorupčního vzdělávání je upravena služebním předpisem státního tajemníka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č. 6/2016 ze dne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21.12.2016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>, kterým se stanoví pravidla vzdělávání zaměstnanců a státních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zaměstnanců Ministerstva spravedlnosti ČR. Protikorupční problematika včetně pravidel etiky</w:t>
      </w:r>
    </w:p>
    <w:p w:rsidR="00057CA7" w:rsidRDefault="00057CA7" w:rsidP="0023203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je zařazena do vstupního vzdělávání zaměstnanců.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23203A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1.3.1 Zajistit školení nových zaměstnanců na pozicích s vysokou mírou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korupčního rizika</w:t>
      </w:r>
      <w:r w:rsidR="0023203A">
        <w:rPr>
          <w:rFonts w:ascii="TimesNewRomanPSMT" w:hAnsi="TimesNewRomanPSMT" w:cs="TimesNewRomanPSMT"/>
          <w:color w:val="000000"/>
          <w:szCs w:val="24"/>
        </w:rPr>
        <w:t>.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ředitel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1.3.2 Vedoucí zaměstnanci poskytnou informaci o vzdělávání podřízených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zaměstnanců v protikorupční a etické problematice jako součást hodnocení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úkolů IPP.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všichni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 w:rsidR="0023203A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průběžně, trvale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Termín hodnocení</w:t>
      </w:r>
      <w:r>
        <w:rPr>
          <w:rFonts w:ascii="Calibri" w:hAnsi="Calibri" w:cs="Calibri"/>
          <w:color w:val="000000"/>
          <w:sz w:val="22"/>
        </w:rPr>
        <w:t xml:space="preserve">: </w:t>
      </w:r>
      <w:r w:rsidR="0023203A">
        <w:rPr>
          <w:rFonts w:ascii="Calibri" w:hAnsi="Calibri" w:cs="Calibri"/>
          <w:color w:val="000000"/>
          <w:sz w:val="22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9447DC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1.4. Systém pro oznámení podezření na korupci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23203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Za účelem zajištění transparentního a protikorupčního prostředí je vytvořen systém pro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oznámení (vč. anonymního) podezření na korupční jednání, a to jak oznámení zaměstnanců,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tak veřejnosti. Systém poskytuje důvěryhodný prostor a důvěryhodné nástroje pro oznámení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podezření. Systém pro oznámení podezření na korupci je zakotven v Pokynu ministra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spravedlnosti ze dne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31.12.2014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>, čj. 11/2014-OK-SP, pro přijímání, evidování a vyřizování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stížností, oznámení o podezření z korupce a podnětů, ve znění pozdějších předpisů, který je</w:t>
      </w:r>
      <w:r w:rsidR="0023203A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 dispozici na intranetových stránkách ministerstva.</w:t>
      </w:r>
    </w:p>
    <w:p w:rsidR="0023203A" w:rsidRDefault="0023203A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Oznámení by mělo obsahovat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identifikaci osob podezřelých z korupčního jednání,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podrobný popis možného korupčního jednání,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konkrétní důkazy o možném korupčním jednání,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případný požadavek na zachování anonymity oznamovatele.</w:t>
      </w:r>
    </w:p>
    <w:p w:rsidR="001B6456" w:rsidRDefault="001B645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Oznamovatel podezření na korupční jednání 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na Ministerstvu spravedlnosti ČR </w:t>
      </w:r>
      <w:r>
        <w:rPr>
          <w:rFonts w:ascii="TimesNewRomanPSMT" w:hAnsi="TimesNewRomanPSMT" w:cs="TimesNewRomanPSMT"/>
          <w:color w:val="000000"/>
          <w:szCs w:val="24"/>
        </w:rPr>
        <w:t xml:space="preserve">má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 xml:space="preserve">možnost 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            </w:t>
      </w:r>
      <w:r>
        <w:rPr>
          <w:rFonts w:ascii="TimesNewRomanPSMT" w:hAnsi="TimesNewRomanPSMT" w:cs="TimesNewRomanPSMT"/>
          <w:color w:val="000000"/>
          <w:szCs w:val="24"/>
        </w:rPr>
        <w:t>oznámení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učinit prostřednictvím: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protikorupční telefonní linky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221 997 595</w:t>
      </w:r>
      <w:r>
        <w:rPr>
          <w:rFonts w:ascii="TimesNewRomanPSMT" w:hAnsi="TimesNewRomanPSMT" w:cs="TimesNewRomanPSMT"/>
          <w:color w:val="000000"/>
          <w:szCs w:val="24"/>
        </w:rPr>
        <w:t>,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protikorupční e-mailová adresy </w:t>
      </w:r>
      <w:r>
        <w:rPr>
          <w:rFonts w:ascii="TimesNewRomanPSMT" w:hAnsi="TimesNewRomanPSMT" w:cs="TimesNewRomanPSMT"/>
          <w:color w:val="0000FF"/>
          <w:szCs w:val="24"/>
        </w:rPr>
        <w:t>korupce@msp.justice.cz</w:t>
      </w:r>
      <w:r>
        <w:rPr>
          <w:rFonts w:ascii="TimesNewRomanPSMT" w:hAnsi="TimesNewRomanPSMT" w:cs="TimesNewRomanPSMT"/>
          <w:color w:val="000000"/>
          <w:szCs w:val="24"/>
        </w:rPr>
        <w:t>,</w:t>
      </w:r>
    </w:p>
    <w:p w:rsidR="001B6456" w:rsidRDefault="001B6456" w:rsidP="001B645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7</w:t>
      </w:r>
    </w:p>
    <w:p w:rsidR="001B6456" w:rsidRDefault="001B645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lastRenderedPageBreak/>
        <w:t>- adresy pro poštovní styk: Ministerstvo spravedlnosti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odbor kontroly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Vyšehradská 16, 128 10 Praha 2</w:t>
      </w:r>
    </w:p>
    <w:p w:rsidR="00057CA7" w:rsidRDefault="00057CA7" w:rsidP="001B645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součástí systému pro oznámení podezření na korupci je rovněž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schránka</w:t>
      </w:r>
      <w:r>
        <w:rPr>
          <w:rFonts w:ascii="TimesNewRomanPSMT" w:hAnsi="TimesNewRomanPSMT" w:cs="TimesNewRomanPSMT"/>
          <w:color w:val="000000"/>
          <w:szCs w:val="24"/>
        </w:rPr>
        <w:t>, umístěná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na dveřích nepoužívaného vchodu budovy Ministerstva spravedlnosti, určená pro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oznámení na podezření ze spáchání protiprávního jednání státních zaměstnanců</w:t>
      </w:r>
      <w:r w:rsidR="001B6456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ve služebním úřadu dle nařízení vlády č. 145/2015 Sb.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e-mailová adresa </w:t>
      </w:r>
      <w:r>
        <w:rPr>
          <w:rFonts w:ascii="TimesNewRomanPSMT" w:hAnsi="TimesNewRomanPSMT" w:cs="TimesNewRomanPSMT"/>
          <w:color w:val="0000FF"/>
          <w:szCs w:val="24"/>
        </w:rPr>
        <w:t>oznam@msp.justice.cz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1B6456" w:rsidRDefault="001B645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1B6456" w:rsidRDefault="001B6456" w:rsidP="00CC16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Oznamovatel podezření na korupční jednání na Okresním soudu Plzeň - sever má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možnost             oznámení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učinit prostřednictvím:</w:t>
      </w:r>
    </w:p>
    <w:p w:rsidR="001B6456" w:rsidRDefault="001B645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telefonní linky </w:t>
      </w:r>
      <w:r w:rsidRPr="001B6456">
        <w:rPr>
          <w:rFonts w:ascii="TimesNewRomanPSMT" w:hAnsi="TimesNewRomanPSMT" w:cs="TimesNewRomanPSMT"/>
          <w:b/>
          <w:color w:val="000000"/>
          <w:szCs w:val="24"/>
        </w:rPr>
        <w:t>377 869 577</w:t>
      </w:r>
    </w:p>
    <w:p w:rsidR="001B6456" w:rsidRDefault="001B645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e-mailové adresy </w:t>
      </w:r>
      <w:hyperlink r:id="rId5" w:history="1">
        <w:r w:rsidR="001033B8" w:rsidRPr="00820AA4">
          <w:rPr>
            <w:rStyle w:val="Hypertextovodkaz"/>
            <w:rFonts w:ascii="TimesNewRomanPSMT" w:hAnsi="TimesNewRomanPSMT" w:cs="TimesNewRomanPSMT"/>
            <w:szCs w:val="24"/>
          </w:rPr>
          <w:t>apektor@osoud.plzs.justice.cz</w:t>
        </w:r>
      </w:hyperlink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CC16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Při podezření ze spáchání trestného činu je zaměstnanec povinen věc oznámit též orgánům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činným v trestním řízení. Následky neoznámení trestného činu jsou uvedeny v § 368 zákona</w:t>
      </w:r>
    </w:p>
    <w:p w:rsidR="00057CA7" w:rsidRDefault="00057CA7" w:rsidP="00CC16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č. 40/2009 Sb., trestní zákoník.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1.4.1 Průběžně aktualizovat kontakty pro oznamování korupce, a zajistit jejich zveřejňování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na intranetových a internetových stránkách </w:t>
      </w:r>
      <w:r w:rsidR="00CC1613">
        <w:rPr>
          <w:rFonts w:ascii="TimesNewRomanPSMT" w:hAnsi="TimesNewRomanPSMT" w:cs="TimesNewRomanPSMT"/>
          <w:color w:val="000000"/>
          <w:szCs w:val="24"/>
        </w:rPr>
        <w:t>Okresního soudu Plzeň - sever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Odpovědnost:</w:t>
      </w:r>
      <w:r w:rsidR="00CC1613">
        <w:rPr>
          <w:rFonts w:ascii="TimesNewRomanPSMT" w:hAnsi="TimesNewRomanPSMT" w:cs="TimesNewRomanPSMT"/>
          <w:color w:val="000000"/>
          <w:szCs w:val="24"/>
        </w:rPr>
        <w:tab/>
      </w:r>
      <w:r w:rsidR="00CC1613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CC1613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CC1613">
        <w:rPr>
          <w:rFonts w:ascii="TimesNewRomanPSMT" w:hAnsi="TimesNewRomanPSMT" w:cs="TimesNewRomanPSMT"/>
          <w:color w:val="000000"/>
          <w:szCs w:val="24"/>
        </w:rPr>
        <w:tab/>
      </w:r>
      <w:r w:rsidR="00CC1613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CC1613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1.5 Ochrana oznamovatelů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CC16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Ministerstvo deklaruje ochranu oznamovatelů podezření na korupční jednání, spočívající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 nastavení postupů a pravidel, které zajistí podporu a ochranu osobám, upozorňujícím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v dobré víře na možné korupční jednání, dle Pokynu </w:t>
      </w:r>
      <w:proofErr w:type="spellStart"/>
      <w:r>
        <w:rPr>
          <w:rFonts w:ascii="TimesNewRomanPSMT" w:hAnsi="TimesNewRomanPSMT" w:cs="TimesNewRomanPSMT"/>
          <w:color w:val="000000"/>
          <w:szCs w:val="24"/>
        </w:rPr>
        <w:t>MSp</w:t>
      </w:r>
      <w:proofErr w:type="spellEnd"/>
      <w:r>
        <w:rPr>
          <w:rFonts w:ascii="TimesNewRomanPSMT" w:hAnsi="TimesNewRomanPSMT" w:cs="TimesNewRomanPSMT"/>
          <w:color w:val="000000"/>
          <w:szCs w:val="24"/>
        </w:rPr>
        <w:t xml:space="preserve"> čj. 11/2014-OK-SP, ve znění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pozdějších předpisů. </w:t>
      </w:r>
      <w:r>
        <w:rPr>
          <w:rFonts w:ascii="TimesNewRomanPSMT" w:hAnsi="TimesNewRomanPSMT" w:cs="TimesNewRomanPSMT"/>
          <w:color w:val="030303"/>
          <w:szCs w:val="24"/>
        </w:rPr>
        <w:t>J</w:t>
      </w:r>
      <w:r>
        <w:rPr>
          <w:rFonts w:ascii="TimesNewRomanPSMT" w:hAnsi="TimesNewRomanPSMT" w:cs="TimesNewRomanPSMT"/>
          <w:color w:val="000000"/>
          <w:szCs w:val="24"/>
        </w:rPr>
        <w:t>edná se zejména o systém umožňující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utajení identity oznamovatelů, nestranného posuzování jakéhokoli jednání vůči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zaměstnancům, které lze považovat za diskriminaci či represi za to, že podali oznámení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 podezření z korupčního jednání. Ochranné postupy se vztahují i na zaměstnance, u kterých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se v rámci posouzení neprokázalo pochybení. Správně nastavený systém oznamovacích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mechanismů napomáhá zabránit nekalému jednání, předchází problémům a posiluje etiku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kulturu chování uvnitř organizace.</w:t>
      </w:r>
      <w:r w:rsidR="00CC1613">
        <w:rPr>
          <w:rFonts w:ascii="TimesNewRomanPSMT" w:hAnsi="TimesNewRomanPSMT" w:cs="TimesNewRomanPSMT"/>
          <w:color w:val="000000"/>
          <w:szCs w:val="24"/>
        </w:rPr>
        <w:t xml:space="preserve"> Ochranu oznamovatelů podezření na korupční jednání u Okresního</w:t>
      </w:r>
      <w:r w:rsidR="00EA1942">
        <w:rPr>
          <w:rFonts w:ascii="TimesNewRomanPSMT" w:hAnsi="TimesNewRomanPSMT" w:cs="TimesNewRomanPSMT"/>
          <w:color w:val="000000"/>
          <w:szCs w:val="24"/>
        </w:rPr>
        <w:t xml:space="preserve"> soudu Plzeň – sever garantuje předseda soudu.</w:t>
      </w:r>
    </w:p>
    <w:p w:rsidR="00CC1613" w:rsidRDefault="00CC1613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EA1942" w:rsidRDefault="00EA194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1.5.1 Vedoucí zaměstnanci odpovídají za aktivní propagaci systému ochrany</w:t>
      </w:r>
      <w:r w:rsidR="00EA1942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oznamovatelů.</w:t>
      </w:r>
    </w:p>
    <w:p w:rsidR="00EA1942" w:rsidRDefault="00EA1942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EA1942">
        <w:rPr>
          <w:rFonts w:ascii="TimesNewRomanPSMT" w:hAnsi="TimesNewRomanPSMT" w:cs="TimesNewRomanPSMT"/>
          <w:color w:val="000000"/>
          <w:szCs w:val="24"/>
        </w:rPr>
        <w:tab/>
      </w:r>
      <w:r w:rsidR="00EA194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všichni vedoucí zaměstnanci v rozsahu své kompetence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EA1942">
        <w:rPr>
          <w:rFonts w:ascii="TimesNewRomanPSMT" w:hAnsi="TimesNewRomanPSMT" w:cs="TimesNewRomanPSMT"/>
          <w:color w:val="000000"/>
          <w:szCs w:val="24"/>
        </w:rPr>
        <w:tab/>
      </w:r>
      <w:r w:rsidR="00EA194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průběžně, trvale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EA1942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705E50" w:rsidRDefault="00705E50" w:rsidP="00705E5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8</w:t>
      </w:r>
    </w:p>
    <w:p w:rsidR="00705E50" w:rsidRDefault="00705E50" w:rsidP="00705E5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5E5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lastRenderedPageBreak/>
        <w:t>1.5.2 Zaměstnanec nesmí být diskriminován za to, že podal oznámení o podezření na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korupční jednání. Nesmí být vůči němu v této souvislosti činěny přímé ani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nepřímé represe.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 w:rsidR="00705E50">
        <w:rPr>
          <w:rFonts w:ascii="TimesNewRomanPSMT" w:hAnsi="TimesNewRomanPSMT" w:cs="TimesNewRomanPSMT"/>
          <w:color w:val="000000"/>
          <w:szCs w:val="24"/>
        </w:rPr>
        <w:tab/>
        <w:t>předseda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trvale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Termín hodnocení: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 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1.5.3 Oznamovateli je zaručena anonymita pro jeho ochranu (pokud o ni požádá).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 w:rsidR="00705E50">
        <w:rPr>
          <w:rFonts w:ascii="TimesNewRomanPSMT" w:hAnsi="TimesNewRomanPSMT" w:cs="TimesNewRomanPSMT"/>
          <w:color w:val="000000"/>
          <w:szCs w:val="24"/>
        </w:rPr>
        <w:tab/>
        <w:t>předseda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trvale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705E50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Transparentnost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705E5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</w:t>
      </w:r>
      <w:r>
        <w:rPr>
          <w:rFonts w:ascii="TimesNewRomanPSMT" w:hAnsi="TimesNewRomanPSMT" w:cs="TimesNewRomanPSMT"/>
          <w:color w:val="000000"/>
          <w:szCs w:val="24"/>
        </w:rPr>
        <w:t>je odrazovat zaměstnance od korupčního jednání prostřednictvím zvyšování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pravděpodobnosti jejího odhalení. K</w:t>
      </w:r>
      <w:r w:rsidR="00705E50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budování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transparentního prostředí přispívá zveřejňování relevantních informací, zejména o nakládání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 veřejnými prostředky.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2.1 Zveřejňování informací o veřejných prostředcích</w:t>
      </w:r>
    </w:p>
    <w:p w:rsidR="00D71BF6" w:rsidRDefault="00D71BF6" w:rsidP="00705E5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057CA7" w:rsidRDefault="00D71BF6" w:rsidP="00705E5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Okresní soud Plzeň - sever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 zpřístupňuje informace o nakládání s veřejnými prostředky zaměstnancům</w:t>
      </w:r>
      <w:r w:rsidR="00705E50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i veřejnosti za účelem zvýšení pravděpodobnosti odhalení korupce.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705E50" w:rsidRDefault="00705E5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D71B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2.1.1 </w:t>
      </w:r>
      <w:r w:rsidR="00D71BF6">
        <w:rPr>
          <w:rFonts w:ascii="TimesNewRomanPSMT" w:hAnsi="TimesNewRomanPSMT" w:cs="TimesNewRomanPSMT"/>
          <w:color w:val="000000"/>
          <w:szCs w:val="24"/>
        </w:rPr>
        <w:t xml:space="preserve">V „Registru smluv“ a v „Otevřených datech české justice“ </w:t>
      </w:r>
      <w:r>
        <w:rPr>
          <w:rFonts w:ascii="TimesNewRomanPSMT" w:hAnsi="TimesNewRomanPSMT" w:cs="TimesNewRomanPSMT"/>
          <w:color w:val="000000"/>
          <w:szCs w:val="24"/>
        </w:rPr>
        <w:t>průběžně</w:t>
      </w:r>
      <w:r w:rsidR="00D71BF6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aktualizovat přehled uzavřených smluv, faktur a plateb.</w:t>
      </w:r>
    </w:p>
    <w:p w:rsidR="00D71BF6" w:rsidRDefault="00D71BF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D71BF6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Prostřednictvím „</w:t>
      </w:r>
      <w:r w:rsidR="00AC6B4C">
        <w:rPr>
          <w:rFonts w:ascii="TimesNewRomanPSMT" w:hAnsi="TimesNewRomanPSMT" w:cs="TimesNewRomanPSMT"/>
          <w:color w:val="000000"/>
          <w:szCs w:val="24"/>
        </w:rPr>
        <w:t xml:space="preserve">Národního elektronického nástroje“ </w:t>
      </w:r>
      <w:r w:rsidR="00057CA7">
        <w:rPr>
          <w:rFonts w:ascii="TimesNewRomanPSMT" w:hAnsi="TimesNewRomanPSMT" w:cs="TimesNewRomanPSMT"/>
          <w:color w:val="000000"/>
          <w:szCs w:val="24"/>
        </w:rPr>
        <w:t>průběžně zveřejňovat</w:t>
      </w:r>
      <w:r w:rsidR="00AC6B4C">
        <w:rPr>
          <w:rFonts w:ascii="TimesNewRomanPSMT" w:hAnsi="TimesNewRomanPSMT" w:cs="TimesNewRomanPSMT"/>
          <w:color w:val="000000"/>
          <w:szCs w:val="24"/>
        </w:rPr>
        <w:t xml:space="preserve"> a soutěžit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 veřejné zakázky.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Na intranetových stránkách Okresního soudu Plzeň – sever z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veřejňovat </w:t>
      </w:r>
      <w:r>
        <w:rPr>
          <w:rFonts w:ascii="TimesNewRomanPSMT" w:hAnsi="TimesNewRomanPSMT" w:cs="TimesNewRomanPSMT"/>
          <w:color w:val="000000"/>
          <w:szCs w:val="24"/>
        </w:rPr>
        <w:t>„Rozbor hospodaření“ za uplynulý kalendářní rok.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 w:rsidR="00AC6B4C">
        <w:rPr>
          <w:rFonts w:ascii="TimesNewRomanPSMT" w:hAnsi="TimesNewRomanPSMT" w:cs="TimesNewRomanPSMT"/>
          <w:color w:val="000000"/>
          <w:szCs w:val="24"/>
        </w:rPr>
        <w:tab/>
        <w:t>pověření pracovníci 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2.1.2 </w:t>
      </w:r>
      <w:r w:rsidR="00AC6B4C">
        <w:rPr>
          <w:rFonts w:ascii="TimesNewRomanPSMT" w:hAnsi="TimesNewRomanPSMT" w:cs="TimesNewRomanPSMT"/>
          <w:color w:val="000000"/>
          <w:szCs w:val="24"/>
        </w:rPr>
        <w:t>A</w:t>
      </w:r>
      <w:r>
        <w:rPr>
          <w:rFonts w:ascii="TimesNewRomanPSMT" w:hAnsi="TimesNewRomanPSMT" w:cs="TimesNewRomanPSMT"/>
          <w:color w:val="000000"/>
          <w:szCs w:val="24"/>
        </w:rPr>
        <w:t xml:space="preserve">ktualizovat k datu </w:t>
      </w:r>
      <w:r w:rsidR="00AC6B4C">
        <w:rPr>
          <w:rFonts w:ascii="TimesNewRomanPSMT" w:hAnsi="TimesNewRomanPSMT" w:cs="TimesNewRomanPSMT"/>
          <w:color w:val="000000"/>
          <w:szCs w:val="24"/>
        </w:rPr>
        <w:t>31. prosince vždy</w:t>
      </w:r>
      <w:r>
        <w:rPr>
          <w:rFonts w:ascii="TimesNewRomanPSMT" w:hAnsi="TimesNewRomanPSMT" w:cs="TimesNewRomanPSMT"/>
          <w:color w:val="000000"/>
          <w:szCs w:val="24"/>
        </w:rPr>
        <w:t xml:space="preserve"> za předchozí </w:t>
      </w:r>
      <w:r w:rsidR="00AC6B4C">
        <w:rPr>
          <w:rFonts w:ascii="TimesNewRomanPSMT" w:hAnsi="TimesNewRomanPSMT" w:cs="TimesNewRomanPSMT"/>
          <w:color w:val="000000"/>
          <w:szCs w:val="24"/>
        </w:rPr>
        <w:t>rok</w:t>
      </w:r>
      <w:r>
        <w:rPr>
          <w:rFonts w:ascii="TimesNewRomanPSMT" w:hAnsi="TimesNewRomanPSMT" w:cs="TimesNewRomanPSMT"/>
          <w:color w:val="000000"/>
          <w:szCs w:val="24"/>
        </w:rPr>
        <w:t xml:space="preserve"> seznam:</w:t>
      </w:r>
    </w:p>
    <w:p w:rsidR="00057CA7" w:rsidRDefault="00057CA7" w:rsidP="00AC6B4C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- poradních orgánů a pracovních týmů 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AC6B4C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vždy k datu </w:t>
      </w:r>
      <w:r w:rsidR="00AC6B4C">
        <w:rPr>
          <w:rFonts w:ascii="TimesNewRomanPSMT" w:hAnsi="TimesNewRomanPSMT" w:cs="TimesNewRomanPSMT"/>
          <w:color w:val="000000"/>
          <w:szCs w:val="24"/>
        </w:rPr>
        <w:t>31. 12.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AC6B4C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AC6B4C" w:rsidRPr="00AC6B4C" w:rsidRDefault="00AC6B4C" w:rsidP="00AC6B4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color w:val="000000"/>
          <w:szCs w:val="24"/>
        </w:rPr>
      </w:pPr>
      <w:r w:rsidRPr="00AC6B4C">
        <w:rPr>
          <w:rFonts w:ascii="TimesNewRomanPS-BoldMT" w:hAnsi="TimesNewRomanPS-BoldMT" w:cs="TimesNewRomanPS-BoldMT"/>
          <w:bCs/>
          <w:color w:val="000000"/>
          <w:szCs w:val="24"/>
        </w:rPr>
        <w:t>9</w:t>
      </w:r>
    </w:p>
    <w:p w:rsidR="00AC6B4C" w:rsidRDefault="00AC6B4C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lastRenderedPageBreak/>
        <w:t>2.2 Zveřejňování informací o systému rozhodování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F01D94" w:rsidP="00F01D9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Okresní soud Plzeň - sever</w:t>
      </w:r>
      <w:r w:rsidR="00057CA7">
        <w:rPr>
          <w:rFonts w:ascii="TimesNewRomanPSMT" w:hAnsi="TimesNewRomanPSMT" w:cs="TimesNewRomanPSMT"/>
          <w:color w:val="000000"/>
          <w:szCs w:val="24"/>
        </w:rPr>
        <w:t xml:space="preserve"> transparentně zpřístupňuje informace o struktuře a kompetencích při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rozhodování zaměstnancům i veřejnosti na svých internetových stránkách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FF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F01D9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2.2.1 Na </w:t>
      </w:r>
      <w:r w:rsidR="00F01D94">
        <w:rPr>
          <w:rFonts w:ascii="TimesNewRomanPSMT" w:hAnsi="TimesNewRomanPSMT" w:cs="TimesNewRomanPSMT"/>
          <w:color w:val="000000"/>
          <w:szCs w:val="24"/>
        </w:rPr>
        <w:t>internetových stránkách „Justice.cz“ zveřejňovat Výroční zprávu o poskytování informací podle zákona č. 106/1999 Sb.</w:t>
      </w:r>
      <w:r>
        <w:rPr>
          <w:rFonts w:ascii="TimesNewRomanPSMT" w:hAnsi="TimesNewRomanPSMT" w:cs="TimesNewRomanPSMT"/>
          <w:color w:val="000000"/>
          <w:szCs w:val="24"/>
        </w:rPr>
        <w:t>, o svobodném přístupu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 informacím, ve znění pozdějších předpisů</w:t>
      </w:r>
      <w:r w:rsidR="00F01D94">
        <w:rPr>
          <w:rFonts w:ascii="TimesNewRomanPSMT" w:hAnsi="TimesNewRomanPSMT" w:cs="TimesNewRomanPSMT"/>
          <w:color w:val="000000"/>
          <w:szCs w:val="24"/>
        </w:rPr>
        <w:t>.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 w:rsidR="00F01D94">
        <w:rPr>
          <w:rFonts w:ascii="TimesNewRomanPSMT" w:hAnsi="TimesNewRomanPSMT" w:cs="TimesNewRomanPSMT"/>
          <w:color w:val="000000"/>
          <w:szCs w:val="24"/>
        </w:rPr>
        <w:tab/>
        <w:t>pověřená pracovnice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 w:rsidR="00F01D94">
        <w:rPr>
          <w:rFonts w:ascii="TimesNewRomanPSMT" w:hAnsi="TimesNewRomanPSMT" w:cs="TimesNewRomanPSMT"/>
          <w:color w:val="000000"/>
          <w:szCs w:val="24"/>
        </w:rPr>
        <w:tab/>
        <w:t>31.12.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F01D94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2.2.2 </w:t>
      </w:r>
      <w:r w:rsidR="00F01D94">
        <w:rPr>
          <w:rFonts w:ascii="TimesNewRomanPSMT" w:hAnsi="TimesNewRomanPSMT" w:cs="TimesNewRomanPSMT"/>
          <w:color w:val="000000"/>
          <w:szCs w:val="24"/>
        </w:rPr>
        <w:t>P</w:t>
      </w:r>
      <w:r>
        <w:rPr>
          <w:rFonts w:ascii="TimesNewRomanPSMT" w:hAnsi="TimesNewRomanPSMT" w:cs="TimesNewRomanPSMT"/>
          <w:color w:val="000000"/>
          <w:szCs w:val="24"/>
        </w:rPr>
        <w:t>růběžně aktualizovat přehled kontaktů na vedoucí zaměstnance a profesní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životopisy, pokud se ve smyslu § 5 odst. 2 písm. f)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zákona č. 101/2000 Sb., o ochraně osobních údajů, ve znění pozdějších předpisů,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jedná o „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osobní údaje o veřejně činné osobě, funkcionáři či zaměstnanci veřejné</w:t>
      </w:r>
      <w:r w:rsidR="00F01D94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správy, které vypovídají o jeho veřejné anebo úřední činnosti, o jeho funkčním</w:t>
      </w:r>
      <w:r w:rsidR="00F01D94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nebo pracovním zařazení“.)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ředitel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F01D94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Řízení korupčních rizik a monitoring kontrol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F01D9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</w:t>
      </w:r>
      <w:r>
        <w:rPr>
          <w:rFonts w:ascii="TimesNewRomanPSMT" w:hAnsi="TimesNewRomanPSMT" w:cs="TimesNewRomanPSMT"/>
          <w:color w:val="000000"/>
          <w:szCs w:val="24"/>
        </w:rPr>
        <w:t>je nastavit účinné kontrolní mechanismy a zajistit efektivní odhalování korupčního</w:t>
      </w:r>
      <w:r w:rsidR="00F01D94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jednání.</w:t>
      </w:r>
    </w:p>
    <w:p w:rsidR="00F01D94" w:rsidRDefault="00F01D94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3.1 Hodnocení korupčních rizik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Identifikace, hodnocení a řízení korupčních rizik je součástí celkového procesu práce s riziky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spojenými s činností </w:t>
      </w:r>
      <w:r w:rsidR="00F01D94">
        <w:rPr>
          <w:rFonts w:ascii="TimesNewRomanPSMT" w:hAnsi="TimesNewRomanPSMT" w:cs="TimesNewRomanPSMT"/>
          <w:color w:val="000000"/>
          <w:szCs w:val="24"/>
        </w:rPr>
        <w:t>soudu</w:t>
      </w:r>
      <w:r>
        <w:rPr>
          <w:rFonts w:ascii="TimesNewRomanPSMT" w:hAnsi="TimesNewRomanPSMT" w:cs="TimesNewRomanPSMT"/>
          <w:color w:val="000000"/>
          <w:szCs w:val="24"/>
        </w:rPr>
        <w:t>. Efektivní řízení rizik je podmíněno fungováním účinného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vnitřního kontrolního systému.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Hodnocení korupčních rizik zahrnuje zejména: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identifikaci korupčního rizika, tj. potencionální nebezpečí, že v určitém procesu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probíhajícím </w:t>
      </w:r>
      <w:r w:rsidR="00702CE0">
        <w:rPr>
          <w:rFonts w:ascii="TimesNewRomanPSMT" w:hAnsi="TimesNewRomanPSMT" w:cs="TimesNewRomanPSMT"/>
          <w:color w:val="000000"/>
          <w:szCs w:val="24"/>
        </w:rPr>
        <w:t>u soudu</w:t>
      </w:r>
      <w:r>
        <w:rPr>
          <w:rFonts w:ascii="TimesNewRomanPSMT" w:hAnsi="TimesNewRomanPSMT" w:cs="TimesNewRomanPSMT"/>
          <w:color w:val="000000"/>
          <w:szCs w:val="24"/>
        </w:rPr>
        <w:t xml:space="preserve"> může dojít ke korupčnímu jednání zaměstnance;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hodnocení korupčního rizika, tj. stanovení míry pravděpodobnosti, že tato skutečnost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nastane (stupeň četnosti), a stanovení míry dopadu (vlivu) na chod </w:t>
      </w:r>
      <w:r w:rsidR="00702CE0">
        <w:rPr>
          <w:rFonts w:ascii="TimesNewRomanPSMT" w:hAnsi="TimesNewRomanPSMT" w:cs="TimesNewRomanPSMT"/>
          <w:color w:val="000000"/>
          <w:szCs w:val="24"/>
        </w:rPr>
        <w:t>soudu</w:t>
      </w:r>
      <w:r>
        <w:rPr>
          <w:rFonts w:ascii="TimesNewRomanPSMT" w:hAnsi="TimesNewRomanPSMT" w:cs="TimesNewRomanPSMT"/>
          <w:color w:val="000000"/>
          <w:szCs w:val="24"/>
        </w:rPr>
        <w:t>;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součinem těchto dvou veličin je míra významnosti korupčního rizika.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vytvoření katalogu korupčních rizik,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- nastavení kontrolních mechanismů pro zabránění korupci, tj. přijetí konkrétních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opatření, která budou minimalizovat pravděpodobnost vzniku či dopad jednotlivých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identifikovaných rizik a bránit tomu, aby mohla nastat;</w:t>
      </w:r>
    </w:p>
    <w:p w:rsidR="00702CE0" w:rsidRDefault="00702CE0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702CE0" w:rsidRDefault="00702CE0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702CE0" w:rsidRDefault="00702CE0" w:rsidP="00702CE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10</w:t>
      </w:r>
    </w:p>
    <w:p w:rsidR="00702CE0" w:rsidRDefault="00702CE0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lastRenderedPageBreak/>
        <w:t>- sledování plnění protikorupčních opatření k eliminaci a minimalizaci rizik a hodnocení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jejich realizace a účinnosti, případná aktualizace při vzniku a identifikaci nového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korupčního rizika na základě vývoje procesů probíhajících </w:t>
      </w:r>
      <w:r w:rsidR="00702CE0">
        <w:rPr>
          <w:rFonts w:ascii="TimesNewRomanPSMT" w:hAnsi="TimesNewRomanPSMT" w:cs="TimesNewRomanPSMT"/>
          <w:color w:val="000000"/>
          <w:szCs w:val="24"/>
        </w:rPr>
        <w:t>u soudu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Vedoucí zaměstnanci identifikují a hodnotí korupční rizika spojená s činností </w:t>
      </w:r>
      <w:r w:rsidR="00702CE0">
        <w:rPr>
          <w:rFonts w:ascii="TimesNewRomanPSMT" w:hAnsi="TimesNewRomanPSMT" w:cs="TimesNewRomanPSMT"/>
          <w:color w:val="000000"/>
          <w:szCs w:val="24"/>
        </w:rPr>
        <w:t>soudu</w:t>
      </w:r>
      <w:r>
        <w:rPr>
          <w:rFonts w:ascii="TimesNewRomanPSMT" w:hAnsi="TimesNewRomanPSMT" w:cs="TimesNewRomanPSMT"/>
          <w:color w:val="000000"/>
          <w:szCs w:val="24"/>
        </w:rPr>
        <w:t xml:space="preserve"> a hodnotí</w:t>
      </w: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přiměřenost a účinnost přijatých opatření k minimalizaci rizik. Identifikovaná korupční rizika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opatření přijímaná k jejich potlačení jsou obsažena v Katalogu korupčních rizik.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Pro hodnocení korupčního rizika je využíván následující bodový systém: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Pravděpodobnost výskytu jevu (korupčního jednání)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FFFFFF"/>
          <w:szCs w:val="24"/>
        </w:rPr>
      </w:pPr>
      <w:r>
        <w:rPr>
          <w:rFonts w:ascii="TimesNewRomanPSMT" w:hAnsi="TimesNewRomanPSMT" w:cs="TimesNewRomanPSMT"/>
          <w:color w:val="FFFFFF"/>
          <w:szCs w:val="24"/>
        </w:rPr>
        <w:t>Stupeň Pravděpodobnost výskytu jevu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 Téměř vyloučený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2 Nepravděpodobný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 Možný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4 Pravděpodobný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 Téměř jistý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Dopad výskytu jevu (korupčního jednání)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FFFFFF"/>
          <w:szCs w:val="24"/>
        </w:rPr>
      </w:pPr>
      <w:r>
        <w:rPr>
          <w:rFonts w:ascii="TimesNewRomanPSMT" w:hAnsi="TimesNewRomanPSMT" w:cs="TimesNewRomanPSMT"/>
          <w:color w:val="FFFFFF"/>
          <w:szCs w:val="24"/>
        </w:rPr>
        <w:t>Stupeň Míra dopadu jevu na chod OSS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 Prakticky žádný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2 Málo podstatný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 Podstatný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4 Zásadní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 Devastující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Vzorec výpočtu míry významnosti korupčního rizika je následující: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  <w:t>významnost korupčního rizika = pravděpodobnost výskytu jevu x dopad výskytu jevu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02CE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3.1.1 Vyhodnocovat korupční rizika a opatření, která byla přijata ke snížení jejich</w:t>
      </w:r>
      <w:r w:rsidR="00702CE0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pravděpodobnosti nebo dopadu.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702CE0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702CE0">
        <w:rPr>
          <w:rFonts w:ascii="TimesNewRomanPSMT" w:hAnsi="TimesNewRomanPSMT" w:cs="TimesNewRomanPSMT"/>
          <w:color w:val="000000"/>
          <w:szCs w:val="24"/>
        </w:rPr>
        <w:tab/>
      </w:r>
      <w:r w:rsidR="00702CE0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všichni vedoucí zaměstnanci 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Termín hodnocení</w:t>
      </w:r>
      <w:r>
        <w:rPr>
          <w:rFonts w:ascii="Calibri" w:hAnsi="Calibri" w:cs="Calibri"/>
          <w:color w:val="000000"/>
          <w:sz w:val="22"/>
        </w:rPr>
        <w:t xml:space="preserve">: </w:t>
      </w:r>
      <w:r w:rsidR="00702CE0">
        <w:rPr>
          <w:rFonts w:ascii="Calibri" w:hAnsi="Calibri" w:cs="Calibri"/>
          <w:color w:val="000000"/>
          <w:sz w:val="22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3.2 Monitoring kontrolních mechanismů odhalujících korupci</w:t>
      </w:r>
    </w:p>
    <w:p w:rsidR="00702CE0" w:rsidRDefault="00702CE0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741F9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Jedná se o pravidelné testování účinnosti kontrolních mechanismů pro zabránění či odhalení</w:t>
      </w:r>
    </w:p>
    <w:p w:rsidR="00057CA7" w:rsidRDefault="00057CA7" w:rsidP="00741F9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rizik spojených s korupčním jednáním. Tento proces je součástí řídicí činnosti vedoucích</w:t>
      </w:r>
      <w:r w:rsidR="00741F9D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zaměstnanců na všech úrovních řízení. Součástí monitoringu je posuzování dostatečnosti</w:t>
      </w:r>
      <w:r w:rsidR="00741F9D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deklarovaných opatření ke snížení rizika korupčního jednání a rovněž aktuálnost</w:t>
      </w:r>
      <w:r w:rsidR="00741F9D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přiměřenost souvisejících interních předpisů.</w:t>
      </w:r>
    </w:p>
    <w:p w:rsidR="00741F9D" w:rsidRDefault="00741F9D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741F9D" w:rsidRDefault="00741F9D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741F9D" w:rsidRDefault="00741F9D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741F9D" w:rsidRDefault="00741F9D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741F9D" w:rsidRDefault="00741F9D" w:rsidP="00D509A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11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lastRenderedPageBreak/>
        <w:t>Úkol: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D509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3.2.1 Vedoucí zaměstnanci v rámci své řídicí a kontrolní činnosti prověřují funkčnost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nastavených opatření a mechanismů k odhalení korupčního jednání a aktuálnost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přiměřenost souvisejících interních předpisů.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vedoucí zaměstnanci 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 </w:t>
      </w:r>
      <w:r w:rsidR="00D509A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Postupy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při podezření na korupci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D509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</w:t>
      </w:r>
      <w:r>
        <w:rPr>
          <w:rFonts w:ascii="TimesNewRomanPSMT" w:hAnsi="TimesNewRomanPSMT" w:cs="TimesNewRomanPSMT"/>
          <w:color w:val="000000"/>
          <w:szCs w:val="24"/>
        </w:rPr>
        <w:t>je minimalizovat ztráty způsobené korupčním jednáním a zabránit výskytu dalšího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obdobného jednání.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Bezodkladná reakce na podezření na korupční jednání zvyšuje pravděpodobnost jeho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správného prověření a případného prokázání. Analýza příčin vzniku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korupčního jednání je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východiskem pro posílení preventivních mechanismů k zabránění opakovaného výskytu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korupce.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4.1 Postupy při prošetřování podezření na korupci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D509A9" w:rsidP="00D509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Okresní soud Plzeň – sever </w:t>
      </w:r>
      <w:r w:rsidR="00057CA7">
        <w:rPr>
          <w:rFonts w:ascii="TimesNewRomanPSMT" w:hAnsi="TimesNewRomanPSMT" w:cs="TimesNewRomanPSMT"/>
          <w:color w:val="000000"/>
          <w:szCs w:val="24"/>
        </w:rPr>
        <w:t>má stanoveny transparentní postupy pro prošetřování podezření na korupci. Jde zejména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o postupy v rámci systému pro oznámení podezření na korupci a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systému ochrany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057CA7">
        <w:rPr>
          <w:rFonts w:ascii="TimesNewRomanPSMT" w:hAnsi="TimesNewRomanPSMT" w:cs="TimesNewRomanPSMT"/>
          <w:color w:val="000000"/>
          <w:szCs w:val="24"/>
        </w:rPr>
        <w:t>oznamovatelů</w:t>
      </w:r>
      <w:r>
        <w:rPr>
          <w:rFonts w:ascii="TimesNewRomanPSMT" w:hAnsi="TimesNewRomanPSMT" w:cs="TimesNewRomanPSMT"/>
          <w:color w:val="000000"/>
          <w:szCs w:val="24"/>
        </w:rPr>
        <w:t xml:space="preserve"> (viz část 1.4 a 1.5 IPP). 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D509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4.1.1. Při prošetřování oznámení podezření na korupci postupovat v</w:t>
      </w:r>
      <w:r w:rsidR="00D509A9">
        <w:rPr>
          <w:rFonts w:ascii="TimesNewRomanPSMT" w:hAnsi="TimesNewRomanPSMT" w:cs="TimesNewRomanPSMT"/>
          <w:color w:val="000000"/>
          <w:szCs w:val="24"/>
        </w:rPr>
        <w:t> </w:t>
      </w:r>
      <w:r>
        <w:rPr>
          <w:rFonts w:ascii="TimesNewRomanPSMT" w:hAnsi="TimesNewRomanPSMT" w:cs="TimesNewRomanPSMT"/>
          <w:color w:val="000000"/>
          <w:szCs w:val="24"/>
        </w:rPr>
        <w:t>souladu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s Pokynem ministra spravedlnosti ze dne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31.12.2014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čj. 11/2004-OK-SP, ve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znění pozdějších předpisů a současně nařízením vlády č. 145/2015 Sb</w:t>
      </w:r>
      <w:r w:rsidR="00D509A9">
        <w:rPr>
          <w:rFonts w:ascii="TimesNewRomanPSMT" w:hAnsi="TimesNewRomanPSMT" w:cs="TimesNewRomanPSMT"/>
          <w:color w:val="000000"/>
          <w:szCs w:val="24"/>
        </w:rPr>
        <w:t>.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Odpovědnost: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 w:rsidR="00D509A9">
        <w:rPr>
          <w:rFonts w:ascii="TimesNewRomanPSMT" w:hAnsi="TimesNewRomanPSMT" w:cs="TimesNewRomanPSMT"/>
          <w:color w:val="000000"/>
          <w:szCs w:val="24"/>
        </w:rPr>
        <w:tab/>
        <w:t>předseda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D509A9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4.2 Následná opatření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Implementace nápravných opatření omezí opakování korupčního jednání či zajistí jeho včasné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odhalení v budoucnu.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D509A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4.2.1 Na základě prokázaného korupčního jednání jsou k jeho eliminaci přijímána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opatření zaměřená na oblast úpravy vnitřních předpisů, vyvození disciplinárních</w:t>
      </w:r>
      <w:r w:rsidR="00D509A9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sankcí a řešení vzniklých škod.</w:t>
      </w:r>
    </w:p>
    <w:p w:rsidR="00D509A9" w:rsidRDefault="00D509A9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3E5898">
        <w:rPr>
          <w:rFonts w:ascii="TimesNewRomanPSMT" w:hAnsi="TimesNewRomanPSMT" w:cs="TimesNewRomanPSMT"/>
          <w:color w:val="000000"/>
          <w:szCs w:val="24"/>
        </w:rPr>
        <w:tab/>
      </w:r>
      <w:r w:rsidR="003E589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vedoucí zaměstnanci 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3E5898">
        <w:rPr>
          <w:rFonts w:ascii="TimesNewRomanPSMT" w:hAnsi="TimesNewRomanPSMT" w:cs="TimesNewRomanPSMT"/>
          <w:color w:val="000000"/>
          <w:szCs w:val="24"/>
        </w:rPr>
        <w:tab/>
      </w:r>
      <w:r w:rsidR="003E589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>průběžně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 hodnocení: </w:t>
      </w:r>
      <w:r w:rsidR="003E589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jako podklad pro zprávu o hodnocení</w:t>
      </w:r>
    </w:p>
    <w:p w:rsidR="004E0B82" w:rsidRPr="004E0B82" w:rsidRDefault="004E0B82" w:rsidP="004E0B8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4E0B8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12</w:t>
      </w:r>
    </w:p>
    <w:p w:rsidR="004E0B82" w:rsidRDefault="004E0B8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5 </w:t>
      </w:r>
      <w:r w:rsidR="004E0B8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Vyhodnocování</w:t>
      </w:r>
      <w:proofErr w:type="gramEnd"/>
      <w:r w:rsidR="004E0B8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interního protikorupčního programu</w:t>
      </w:r>
    </w:p>
    <w:p w:rsidR="004E0B82" w:rsidRDefault="004E0B8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4E0B82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Cílem </w:t>
      </w:r>
      <w:r>
        <w:rPr>
          <w:rFonts w:ascii="TimesNewRomanPSMT" w:hAnsi="TimesNewRomanPSMT" w:cs="TimesNewRomanPSMT"/>
          <w:color w:val="000000"/>
          <w:szCs w:val="24"/>
        </w:rPr>
        <w:t>je zjistit, zda jsou plněna protikorupční opatření</w:t>
      </w:r>
      <w:r w:rsidR="004E0B82">
        <w:rPr>
          <w:rFonts w:ascii="TimesNewRomanPSMT" w:hAnsi="TimesNewRomanPSMT" w:cs="TimesNewRomanPSMT"/>
          <w:color w:val="000000"/>
          <w:szCs w:val="24"/>
        </w:rPr>
        <w:t xml:space="preserve"> a</w:t>
      </w:r>
      <w:r>
        <w:rPr>
          <w:rFonts w:ascii="TimesNewRomanPSMT" w:hAnsi="TimesNewRomanPSMT" w:cs="TimesNewRomanPSMT"/>
          <w:color w:val="000000"/>
          <w:szCs w:val="24"/>
        </w:rPr>
        <w:t xml:space="preserve"> zdokonalovat IPP</w:t>
      </w:r>
      <w:r w:rsidR="009E12CF">
        <w:rPr>
          <w:rFonts w:ascii="TimesNewRomanPSMT" w:hAnsi="TimesNewRomanPSMT" w:cs="TimesNewRomanPSMT"/>
          <w:color w:val="000000"/>
          <w:szCs w:val="24"/>
        </w:rPr>
        <w:t>.</w:t>
      </w:r>
    </w:p>
    <w:p w:rsidR="004E0B82" w:rsidRDefault="004E0B82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9E12C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5.1 Shromáždění údajů a vyhodnocení interního protikorupčního programu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9E12C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Vyhodnocování účinnosti IPP je zaměřeno na plnění jeho jednotlivých částí,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na účinnost tohoto plnění a na implementaci nápravných opatření.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9E12C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5.1.1 Vyhodnocení účinnosti IPP za roky 20</w:t>
      </w:r>
      <w:r w:rsidR="001033B8">
        <w:rPr>
          <w:rFonts w:ascii="TimesNewRomanPSMT" w:hAnsi="TimesNewRomanPSMT" w:cs="TimesNewRomanPSMT"/>
          <w:color w:val="000000"/>
          <w:szCs w:val="24"/>
        </w:rPr>
        <w:t>20</w:t>
      </w:r>
      <w:r>
        <w:rPr>
          <w:rFonts w:ascii="TimesNewRomanPSMT" w:hAnsi="TimesNewRomanPSMT" w:cs="TimesNewRomanPSMT"/>
          <w:color w:val="000000"/>
          <w:szCs w:val="24"/>
        </w:rPr>
        <w:t>-20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>9 současně s návrhem na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aktualizaci Katalogu korupčních rizik</w:t>
      </w:r>
      <w:r w:rsidR="009E12CF">
        <w:rPr>
          <w:rFonts w:ascii="TimesNewRomanPSMT" w:hAnsi="TimesNewRomanPSMT" w:cs="TimesNewRomanPSMT"/>
          <w:color w:val="000000"/>
          <w:szCs w:val="24"/>
        </w:rPr>
        <w:t>.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 w:rsidR="009E12CF">
        <w:rPr>
          <w:rFonts w:ascii="TimesNewRomanPSMT" w:hAnsi="TimesNewRomanPSMT" w:cs="TimesNewRomanPSMT"/>
          <w:color w:val="000000"/>
          <w:szCs w:val="24"/>
        </w:rPr>
        <w:tab/>
        <w:t>ředitel správy soudu</w:t>
      </w:r>
    </w:p>
    <w:p w:rsidR="00057CA7" w:rsidRDefault="00057CA7" w:rsidP="009E12CF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do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15.1.202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5.2 Zpráva o IPP 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6447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 plnění IPP ve struktuře výše uvedených opatření je zpracována jedenkrát za dva roky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zpráva. Obsahem zprávy je stav implementace protikorupčních nástrojů, plán nápravných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opatření, Katalog korupčních rizik, počet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identifikovaných podezření na korupci a výsledek jejich prověření, výsledek hodnocení</w:t>
      </w:r>
      <w:r w:rsidR="009E12CF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účinnosti celého protikorupčního programu. Zpráva je předkládána ke schválení </w:t>
      </w:r>
      <w:r w:rsidR="009E12CF">
        <w:rPr>
          <w:rFonts w:ascii="TimesNewRomanPSMT" w:hAnsi="TimesNewRomanPSMT" w:cs="TimesNewRomanPSMT"/>
          <w:color w:val="000000"/>
          <w:szCs w:val="24"/>
        </w:rPr>
        <w:t>předsedovi soudu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9E12CF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5.2.1 Provést celkové vyhodnocení účinnosti IPP a zpracovat Zprávu o IPP za roky 20</w:t>
      </w:r>
      <w:r w:rsidR="001033B8">
        <w:rPr>
          <w:rFonts w:ascii="TimesNewRomanPSMT" w:hAnsi="TimesNewRomanPSMT" w:cs="TimesNewRomanPSMT"/>
          <w:color w:val="000000"/>
          <w:szCs w:val="24"/>
        </w:rPr>
        <w:t>20</w:t>
      </w:r>
      <w:r>
        <w:rPr>
          <w:rFonts w:ascii="TimesNewRomanPSMT" w:hAnsi="TimesNewRomanPSMT" w:cs="TimesNewRomanPSMT"/>
          <w:color w:val="000000"/>
          <w:szCs w:val="24"/>
        </w:rPr>
        <w:t>-20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 xml:space="preserve"> z informací a vyhodnocení k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31.12.20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proofErr w:type="gramEnd"/>
      <w:r>
        <w:rPr>
          <w:rFonts w:ascii="TimesNewRomanPSMT" w:hAnsi="TimesNewRomanPSMT" w:cs="TimesNewRomanPSMT"/>
          <w:color w:val="000000"/>
          <w:szCs w:val="24"/>
        </w:rPr>
        <w:t xml:space="preserve"> </w:t>
      </w:r>
    </w:p>
    <w:p w:rsidR="009E12CF" w:rsidRDefault="009E12CF" w:rsidP="009E12CF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9E12CF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 w:rsidR="009E12CF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do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31.3.202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proofErr w:type="gramEnd"/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5.3 Aktualizace IPP </w:t>
      </w:r>
    </w:p>
    <w:p w:rsidR="009E12CF" w:rsidRDefault="009E12CF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6447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Aktualizovaný IPP obsahuje úpravy jednotlivých bodů tam, kde ze zprávy o plnění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 z hodnocení jeho účinnosti za předchozí rok vyplynula potřeba zlepšení, nebo uvedený úkol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byl jednoznačně splněn. Aktuální znění bude zveřejňováno na intranetu a internetových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stránkách </w:t>
      </w:r>
      <w:r w:rsidR="00644758">
        <w:rPr>
          <w:rFonts w:ascii="TimesNewRomanPSMT" w:hAnsi="TimesNewRomanPSMT" w:cs="TimesNewRomanPSMT"/>
          <w:color w:val="000000"/>
          <w:szCs w:val="24"/>
        </w:rPr>
        <w:t>justice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Úkol: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64475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5.3.1 Provést aktualizaci IPP pro roky 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r>
        <w:rPr>
          <w:rFonts w:ascii="TimesNewRomanPSMT" w:hAnsi="TimesNewRomanPSMT" w:cs="TimesNewRomanPSMT"/>
          <w:color w:val="000000"/>
          <w:szCs w:val="24"/>
        </w:rPr>
        <w:t>-202</w:t>
      </w:r>
      <w:r w:rsidR="001033B8">
        <w:rPr>
          <w:rFonts w:ascii="TimesNewRomanPSMT" w:hAnsi="TimesNewRomanPSMT" w:cs="TimesNewRomanPSMT"/>
          <w:color w:val="000000"/>
          <w:szCs w:val="24"/>
        </w:rPr>
        <w:t>3</w:t>
      </w:r>
      <w:r>
        <w:rPr>
          <w:rFonts w:ascii="TimesNewRomanPSMT" w:hAnsi="TimesNewRomanPSMT" w:cs="TimesNewRomanPSMT"/>
          <w:color w:val="000000"/>
          <w:szCs w:val="24"/>
        </w:rPr>
        <w:t>, při aktualizaci vycházet ze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závěrů zprávy o plnění IPP za rok 20</w:t>
      </w:r>
      <w:r w:rsidR="001033B8">
        <w:rPr>
          <w:rFonts w:ascii="TimesNewRomanPSMT" w:hAnsi="TimesNewRomanPSMT" w:cs="TimesNewRomanPSMT"/>
          <w:color w:val="000000"/>
          <w:szCs w:val="24"/>
        </w:rPr>
        <w:t>20</w:t>
      </w:r>
      <w:r>
        <w:rPr>
          <w:rFonts w:ascii="TimesNewRomanPSMT" w:hAnsi="TimesNewRomanPSMT" w:cs="TimesNewRomanPSMT"/>
          <w:color w:val="000000"/>
          <w:szCs w:val="24"/>
        </w:rPr>
        <w:t>-20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 xml:space="preserve"> a přijatých nápravných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opatření a provést kontrolu souladu s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aktuálním Rámcovým resortním interním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protikorupčním programem.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Odpovědnost: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644758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do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30.6.202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proofErr w:type="gramEnd"/>
    </w:p>
    <w:p w:rsidR="00644758" w:rsidRDefault="00644758" w:rsidP="0064475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13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lastRenderedPageBreak/>
        <w:t>5.3.2 Aktualizované znění IPP  pro roky 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r>
        <w:rPr>
          <w:rFonts w:ascii="TimesNewRomanPSMT" w:hAnsi="TimesNewRomanPSMT" w:cs="TimesNewRomanPSMT"/>
          <w:color w:val="000000"/>
          <w:szCs w:val="24"/>
        </w:rPr>
        <w:t>-202</w:t>
      </w:r>
      <w:r w:rsidR="001033B8">
        <w:rPr>
          <w:rFonts w:ascii="TimesNewRomanPSMT" w:hAnsi="TimesNewRomanPSMT" w:cs="TimesNewRomanPSMT"/>
          <w:color w:val="000000"/>
          <w:szCs w:val="24"/>
        </w:rPr>
        <w:t>3</w:t>
      </w:r>
      <w:r>
        <w:rPr>
          <w:rFonts w:ascii="TimesNewRomanPSMT" w:hAnsi="TimesNewRomanPSMT" w:cs="TimesNewRomanPSMT"/>
          <w:color w:val="000000"/>
          <w:szCs w:val="24"/>
        </w:rPr>
        <w:t xml:space="preserve"> po schválení </w:t>
      </w:r>
      <w:r w:rsidR="00644758">
        <w:rPr>
          <w:rFonts w:ascii="TimesNewRomanPSMT" w:hAnsi="TimesNewRomanPSMT" w:cs="TimesNewRomanPSMT"/>
          <w:color w:val="000000"/>
          <w:szCs w:val="24"/>
        </w:rPr>
        <w:t>předsedou soudu</w:t>
      </w:r>
      <w:r>
        <w:rPr>
          <w:rFonts w:ascii="TimesNewRomanPSMT" w:hAnsi="TimesNewRomanPSMT" w:cs="TimesNewRomanPSMT"/>
          <w:color w:val="000000"/>
          <w:szCs w:val="24"/>
        </w:rPr>
        <w:t xml:space="preserve"> zveřejnit na intranetu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 xml:space="preserve">a internetových stránkách </w:t>
      </w:r>
      <w:r w:rsidR="00644758">
        <w:rPr>
          <w:rFonts w:ascii="TimesNewRomanPSMT" w:hAnsi="TimesNewRomanPSMT" w:cs="TimesNewRomanPSMT"/>
          <w:color w:val="000000"/>
          <w:szCs w:val="24"/>
        </w:rPr>
        <w:t>justice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Odpovědnost: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644758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do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30.6.202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proofErr w:type="gramEnd"/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5.3.3 Provést aktualizaci Katalogu korupčních rizik pro roky 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r>
        <w:rPr>
          <w:rFonts w:ascii="TimesNewRomanPSMT" w:hAnsi="TimesNewRomanPSMT" w:cs="TimesNewRomanPSMT"/>
          <w:color w:val="000000"/>
          <w:szCs w:val="24"/>
        </w:rPr>
        <w:t>-202</w:t>
      </w:r>
      <w:r w:rsidR="001033B8">
        <w:rPr>
          <w:rFonts w:ascii="TimesNewRomanPSMT" w:hAnsi="TimesNewRomanPSMT" w:cs="TimesNewRomanPSMT"/>
          <w:color w:val="000000"/>
          <w:szCs w:val="24"/>
        </w:rPr>
        <w:t>3</w:t>
      </w:r>
      <w:r w:rsidR="00644758">
        <w:rPr>
          <w:rFonts w:ascii="TimesNewRomanPSMT" w:hAnsi="TimesNewRomanPSMT" w:cs="TimesNewRomanPSMT"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Cs w:val="24"/>
        </w:rPr>
        <w:t>v návaznosti na vyhodnocení účinnosti opatření v letech 20</w:t>
      </w:r>
      <w:r w:rsidR="001033B8">
        <w:rPr>
          <w:rFonts w:ascii="TimesNewRomanPSMT" w:hAnsi="TimesNewRomanPSMT" w:cs="TimesNewRomanPSMT"/>
          <w:color w:val="000000"/>
          <w:szCs w:val="24"/>
        </w:rPr>
        <w:t>20</w:t>
      </w:r>
      <w:r>
        <w:rPr>
          <w:rFonts w:ascii="TimesNewRomanPSMT" w:hAnsi="TimesNewRomanPSMT" w:cs="TimesNewRomanPSMT"/>
          <w:color w:val="000000"/>
          <w:szCs w:val="24"/>
        </w:rPr>
        <w:t>-20</w:t>
      </w:r>
      <w:r w:rsidR="001033B8">
        <w:rPr>
          <w:rFonts w:ascii="TimesNewRomanPSMT" w:hAnsi="TimesNewRomanPSMT" w:cs="TimesNewRomanPSMT"/>
          <w:color w:val="000000"/>
          <w:szCs w:val="24"/>
        </w:rPr>
        <w:t>21</w:t>
      </w:r>
      <w:r>
        <w:rPr>
          <w:rFonts w:ascii="TimesNewRomanPSMT" w:hAnsi="TimesNewRomanPSMT" w:cs="TimesNewRomanPSMT"/>
          <w:color w:val="000000"/>
          <w:szCs w:val="24"/>
        </w:rPr>
        <w:t>.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Odpovědnost: 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ředitel </w:t>
      </w:r>
      <w:r w:rsidR="00644758">
        <w:rPr>
          <w:rFonts w:ascii="TimesNewRomanPSMT" w:hAnsi="TimesNewRomanPSMT" w:cs="TimesNewRomanPSMT"/>
          <w:color w:val="000000"/>
          <w:szCs w:val="24"/>
        </w:rPr>
        <w:t>správy soudu</w:t>
      </w:r>
    </w:p>
    <w:p w:rsidR="00057CA7" w:rsidRDefault="00057CA7" w:rsidP="00644758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color w:val="000000"/>
          <w:sz w:val="22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Termín: </w:t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 w:rsidR="00644758">
        <w:rPr>
          <w:rFonts w:ascii="TimesNewRomanPSMT" w:hAnsi="TimesNewRomanPSMT" w:cs="TimesNewRomanPSMT"/>
          <w:color w:val="000000"/>
          <w:szCs w:val="24"/>
        </w:rPr>
        <w:tab/>
      </w:r>
      <w:r>
        <w:rPr>
          <w:rFonts w:ascii="TimesNewRomanPSMT" w:hAnsi="TimesNewRomanPSMT" w:cs="TimesNewRomanPSMT"/>
          <w:color w:val="000000"/>
          <w:szCs w:val="24"/>
        </w:rPr>
        <w:t xml:space="preserve">do </w:t>
      </w:r>
      <w:proofErr w:type="gramStart"/>
      <w:r>
        <w:rPr>
          <w:rFonts w:ascii="TimesNewRomanPSMT" w:hAnsi="TimesNewRomanPSMT" w:cs="TimesNewRomanPSMT"/>
          <w:color w:val="000000"/>
          <w:szCs w:val="24"/>
        </w:rPr>
        <w:t>30.6.202</w:t>
      </w:r>
      <w:r w:rsidR="001033B8">
        <w:rPr>
          <w:rFonts w:ascii="TimesNewRomanPSMT" w:hAnsi="TimesNewRomanPSMT" w:cs="TimesNewRomanPSMT"/>
          <w:color w:val="000000"/>
          <w:szCs w:val="24"/>
        </w:rPr>
        <w:t>2</w:t>
      </w:r>
      <w:proofErr w:type="gramEnd"/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57CA7" w:rsidRDefault="00057CA7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C. Závěr</w:t>
      </w:r>
    </w:p>
    <w:p w:rsidR="00644758" w:rsidRDefault="00644758" w:rsidP="00057CA7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4633A2" w:rsidRDefault="00057CA7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Aktualizovaný IPP </w:t>
      </w:r>
      <w:r w:rsidR="00644758">
        <w:rPr>
          <w:rFonts w:ascii="TimesNewRomanPS-BoldMT" w:hAnsi="TimesNewRomanPS-BoldMT" w:cs="TimesNewRomanPS-BoldMT"/>
          <w:b/>
          <w:bCs/>
          <w:color w:val="000000"/>
          <w:szCs w:val="24"/>
        </w:rPr>
        <w:t>Okresního soudu Plzeň - sever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je účinný dnem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30.6.20</w:t>
      </w:r>
      <w:r w:rsidR="001033B8">
        <w:rPr>
          <w:rFonts w:ascii="TimesNewRomanPS-BoldMT" w:hAnsi="TimesNewRomanPS-BoldMT" w:cs="TimesNewRomanPS-BoldMT"/>
          <w:b/>
          <w:bCs/>
          <w:color w:val="000000"/>
          <w:szCs w:val="24"/>
        </w:rPr>
        <w:t>20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a je v plném rozsahu závazný pro</w:t>
      </w:r>
      <w:r w:rsidR="00644758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všechny zaměstnance. </w:t>
      </w: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644758" w:rsidP="00644758">
      <w:pPr>
        <w:autoSpaceDE w:val="0"/>
        <w:autoSpaceDN w:val="0"/>
        <w:adjustRightInd w:val="0"/>
        <w:spacing w:after="0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</w:p>
    <w:p w:rsidR="00644758" w:rsidRDefault="001033B8" w:rsidP="00217525">
      <w:pPr>
        <w:autoSpaceDE w:val="0"/>
        <w:autoSpaceDN w:val="0"/>
        <w:adjustRightInd w:val="0"/>
        <w:spacing w:after="0"/>
        <w:ind w:left="4254" w:firstLine="709"/>
        <w:jc w:val="left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Mgr. Antonín Pektor,</w:t>
      </w:r>
      <w:r w:rsidR="00217525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  <w:proofErr w:type="gramStart"/>
      <w:r w:rsidR="00217525">
        <w:rPr>
          <w:rFonts w:ascii="TimesNewRomanPS-BoldMT" w:hAnsi="TimesNewRomanPS-BoldMT" w:cs="TimesNewRomanPS-BoldMT"/>
          <w:b/>
          <w:bCs/>
          <w:color w:val="000000"/>
          <w:szCs w:val="24"/>
        </w:rPr>
        <w:t>v.r.</w:t>
      </w:r>
      <w:proofErr w:type="gramEnd"/>
      <w:r w:rsidR="00644758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</w:t>
      </w:r>
    </w:p>
    <w:p w:rsidR="00644758" w:rsidRDefault="00644758" w:rsidP="00644758">
      <w:pPr>
        <w:autoSpaceDE w:val="0"/>
        <w:autoSpaceDN w:val="0"/>
        <w:adjustRightInd w:val="0"/>
        <w:spacing w:after="0"/>
        <w:ind w:left="4254" w:firstLine="709"/>
        <w:jc w:val="left"/>
      </w:pP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  </w:t>
      </w:r>
      <w:r w:rsidR="001033B8"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  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>předsed</w:t>
      </w:r>
      <w:r w:rsidR="001033B8">
        <w:rPr>
          <w:rFonts w:ascii="TimesNewRomanPS-BoldMT" w:hAnsi="TimesNewRomanPS-BoldMT" w:cs="TimesNewRomanPS-BoldMT"/>
          <w:b/>
          <w:bCs/>
          <w:color w:val="000000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Cs w:val="24"/>
        </w:rPr>
        <w:t xml:space="preserve"> soudu</w:t>
      </w:r>
    </w:p>
    <w:sectPr w:rsidR="0064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7"/>
    <w:rsid w:val="00057CA7"/>
    <w:rsid w:val="000C01D7"/>
    <w:rsid w:val="001033B8"/>
    <w:rsid w:val="001B6456"/>
    <w:rsid w:val="00217525"/>
    <w:rsid w:val="0023203A"/>
    <w:rsid w:val="00386672"/>
    <w:rsid w:val="003E5898"/>
    <w:rsid w:val="003F71A9"/>
    <w:rsid w:val="004633A2"/>
    <w:rsid w:val="004B71DB"/>
    <w:rsid w:val="004E0B82"/>
    <w:rsid w:val="00511CF9"/>
    <w:rsid w:val="00617762"/>
    <w:rsid w:val="00644758"/>
    <w:rsid w:val="00702CE0"/>
    <w:rsid w:val="00705E50"/>
    <w:rsid w:val="00732916"/>
    <w:rsid w:val="00741F9D"/>
    <w:rsid w:val="009108A2"/>
    <w:rsid w:val="009447DC"/>
    <w:rsid w:val="009E12CF"/>
    <w:rsid w:val="00AC1F5D"/>
    <w:rsid w:val="00AC6B4C"/>
    <w:rsid w:val="00AC7C58"/>
    <w:rsid w:val="00B1701F"/>
    <w:rsid w:val="00B47527"/>
    <w:rsid w:val="00B97831"/>
    <w:rsid w:val="00CC1613"/>
    <w:rsid w:val="00D509A9"/>
    <w:rsid w:val="00D71BF6"/>
    <w:rsid w:val="00EA1942"/>
    <w:rsid w:val="00F01D94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ktor@osoud.plzs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3391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Macner Kamil Ing.</dc:creator>
  <cp:lastModifiedBy>Macner Kamil Ing.</cp:lastModifiedBy>
  <cp:revision>17</cp:revision>
  <cp:lastPrinted>2018-05-30T08:07:00Z</cp:lastPrinted>
  <dcterms:created xsi:type="dcterms:W3CDTF">2018-05-28T07:48:00Z</dcterms:created>
  <dcterms:modified xsi:type="dcterms:W3CDTF">2020-06-09T07:03:00Z</dcterms:modified>
</cp:coreProperties>
</file>