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EE" w:rsidRPr="00514DC9" w:rsidRDefault="000971EE" w:rsidP="000971EE">
      <w:pPr>
        <w:shd w:val="clear" w:color="auto" w:fill="FFFFFF"/>
        <w:spacing w:before="240" w:after="120" w:line="240" w:lineRule="auto"/>
        <w:jc w:val="center"/>
        <w:outlineLvl w:val="1"/>
        <w:rPr>
          <w:rFonts w:ascii="Garamond" w:hAnsi="Garamond"/>
          <w:b/>
          <w:color w:val="030303"/>
          <w:kern w:val="36"/>
          <w:sz w:val="36"/>
          <w:szCs w:val="36"/>
          <w:lang w:eastAsia="cs-CZ"/>
        </w:rPr>
      </w:pPr>
      <w:r>
        <w:rPr>
          <w:rFonts w:ascii="Garamond" w:hAnsi="Garamond"/>
          <w:b/>
          <w:color w:val="030303"/>
          <w:kern w:val="36"/>
          <w:sz w:val="36"/>
          <w:szCs w:val="36"/>
          <w:lang w:eastAsia="cs-CZ"/>
        </w:rPr>
        <w:t>Výroční zpráva za rok 2022</w:t>
      </w:r>
    </w:p>
    <w:p w:rsidR="000971EE" w:rsidRPr="00514DC9" w:rsidRDefault="000971EE" w:rsidP="000971EE">
      <w:pPr>
        <w:shd w:val="clear" w:color="auto" w:fill="FFFFFF"/>
        <w:overflowPunct w:val="0"/>
        <w:adjustRightInd w:val="0"/>
        <w:spacing w:after="0" w:line="384" w:lineRule="atLeast"/>
        <w:jc w:val="right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30 Si 1/2023</w:t>
      </w:r>
    </w:p>
    <w:p w:rsidR="000971EE" w:rsidRPr="00514DC9" w:rsidRDefault="000971EE" w:rsidP="000971EE">
      <w:pPr>
        <w:shd w:val="clear" w:color="auto" w:fill="FFFFFF"/>
        <w:overflowPunct w:val="0"/>
        <w:adjustRightInd w:val="0"/>
        <w:spacing w:after="0" w:line="384" w:lineRule="atLeast"/>
        <w:jc w:val="center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overflowPunct w:val="0"/>
        <w:adjustRightInd w:val="0"/>
        <w:spacing w:after="0" w:line="384" w:lineRule="atLeast"/>
        <w:jc w:val="center"/>
        <w:rPr>
          <w:rFonts w:ascii="Garamond" w:hAnsi="Garamond"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>Výroční zpráva Okresního soudu v Novém Jičíně za rok 202</w:t>
      </w:r>
      <w:r>
        <w:rPr>
          <w:rFonts w:ascii="Garamond" w:hAnsi="Garamond"/>
          <w:color w:val="030303"/>
          <w:sz w:val="24"/>
          <w:szCs w:val="24"/>
          <w:lang w:eastAsia="cs-CZ"/>
        </w:rPr>
        <w:t>2</w:t>
      </w: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 o poskytování</w:t>
      </w:r>
    </w:p>
    <w:p w:rsidR="000971EE" w:rsidRPr="00514DC9" w:rsidRDefault="000971EE" w:rsidP="000971EE">
      <w:pPr>
        <w:pBdr>
          <w:bottom w:val="single" w:sz="12" w:space="1" w:color="auto"/>
        </w:pBdr>
        <w:shd w:val="clear" w:color="auto" w:fill="FFFFFF"/>
        <w:spacing w:after="0" w:line="384" w:lineRule="atLeast"/>
        <w:jc w:val="center"/>
        <w:rPr>
          <w:rFonts w:ascii="Garamond" w:hAnsi="Garamond"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>informací podle zákona č. 106/1999 Sb. o svobodném přístupu k informacím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bookmarkStart w:id="0" w:name="_GoBack"/>
      <w:bookmarkEnd w:id="0"/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a) Počet podaných žádostí o informace - </w:t>
      </w:r>
      <w:r w:rsidR="001E7565">
        <w:rPr>
          <w:rFonts w:ascii="Garamond" w:hAnsi="Garamond"/>
          <w:b/>
          <w:color w:val="030303"/>
          <w:sz w:val="24"/>
          <w:szCs w:val="24"/>
          <w:lang w:eastAsia="cs-CZ"/>
        </w:rPr>
        <w:t>77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ind w:firstLine="708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Žádosti vyhověno – </w:t>
      </w:r>
      <w:r w:rsidR="001E7565">
        <w:rPr>
          <w:rFonts w:ascii="Garamond" w:hAnsi="Garamond"/>
          <w:b/>
          <w:color w:val="030303"/>
          <w:sz w:val="24"/>
          <w:szCs w:val="24"/>
          <w:lang w:eastAsia="cs-CZ"/>
        </w:rPr>
        <w:t>64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ind w:firstLine="708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Celkem </w:t>
      </w:r>
      <w:proofErr w:type="gramStart"/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práce – </w:t>
      </w:r>
      <w:r w:rsidRPr="00514DC9">
        <w:rPr>
          <w:rFonts w:ascii="Garamond" w:hAnsi="Garamond"/>
          <w:b/>
          <w:color w:val="030303"/>
          <w:sz w:val="24"/>
          <w:szCs w:val="24"/>
          <w:lang w:eastAsia="cs-CZ"/>
        </w:rPr>
        <w:t xml:space="preserve">  </w:t>
      </w:r>
      <w:r w:rsidR="001E7565">
        <w:rPr>
          <w:rFonts w:ascii="Garamond" w:hAnsi="Garamond"/>
          <w:b/>
          <w:color w:val="030303"/>
          <w:sz w:val="24"/>
          <w:szCs w:val="24"/>
          <w:lang w:eastAsia="cs-CZ"/>
        </w:rPr>
        <w:t>81</w:t>
      </w:r>
      <w:proofErr w:type="gramEnd"/>
      <w:r w:rsidRPr="00514DC9">
        <w:rPr>
          <w:rFonts w:ascii="Garamond" w:hAnsi="Garamond"/>
          <w:b/>
          <w:color w:val="030303"/>
          <w:sz w:val="24"/>
          <w:szCs w:val="24"/>
          <w:lang w:eastAsia="cs-CZ"/>
        </w:rPr>
        <w:t xml:space="preserve"> hodin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    Počet lustrací - </w:t>
      </w:r>
      <w:r w:rsidR="001E7565">
        <w:rPr>
          <w:rFonts w:ascii="Garamond" w:hAnsi="Garamond"/>
          <w:b/>
          <w:color w:val="030303"/>
          <w:sz w:val="24"/>
          <w:szCs w:val="24"/>
          <w:lang w:eastAsia="cs-CZ"/>
        </w:rPr>
        <w:t>181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b) Počet vydaných rozhodnutí o odmítnutí žádosti (i částečném) - </w:t>
      </w:r>
      <w:r w:rsidR="001E7565">
        <w:rPr>
          <w:rFonts w:ascii="Garamond" w:hAnsi="Garamond"/>
          <w:b/>
          <w:color w:val="030303"/>
          <w:sz w:val="24"/>
          <w:szCs w:val="24"/>
          <w:lang w:eastAsia="cs-CZ"/>
        </w:rPr>
        <w:t>4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ind w:firstLine="708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Žádost odložena – </w:t>
      </w:r>
      <w:r w:rsidR="001E7565">
        <w:rPr>
          <w:rFonts w:ascii="Garamond" w:hAnsi="Garamond"/>
          <w:b/>
          <w:color w:val="030303"/>
          <w:sz w:val="24"/>
          <w:szCs w:val="24"/>
          <w:lang w:eastAsia="cs-CZ"/>
        </w:rPr>
        <w:t>10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c) Počet podaných odvolání (rozkladů) proti rozhodnutí o odmítnutí žádosti - </w:t>
      </w:r>
      <w:r w:rsidRPr="00514DC9">
        <w:rPr>
          <w:rFonts w:ascii="Garamond" w:hAnsi="Garamond"/>
          <w:b/>
          <w:color w:val="030303"/>
          <w:sz w:val="24"/>
          <w:szCs w:val="24"/>
          <w:lang w:eastAsia="cs-CZ"/>
        </w:rPr>
        <w:t>1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d) Opis podstatných částí každého rozsudku soudu ve věci přezkoumání zákonnosti rozhodnutí povinného subjektu o odmítnutí žádosti o poskytnutí informace - </w:t>
      </w:r>
      <w:r w:rsidRPr="00514DC9">
        <w:rPr>
          <w:rFonts w:ascii="Garamond" w:hAnsi="Garamond"/>
          <w:b/>
          <w:color w:val="030303"/>
          <w:sz w:val="24"/>
          <w:szCs w:val="24"/>
          <w:lang w:eastAsia="cs-CZ"/>
        </w:rPr>
        <w:t>0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e) Přehled výdajů vynaložených povinným subjektem v souvislosti se soudními řízeními – </w:t>
      </w:r>
      <w:r w:rsidRPr="00514DC9">
        <w:rPr>
          <w:rFonts w:ascii="Garamond" w:hAnsi="Garamond"/>
          <w:b/>
          <w:color w:val="030303"/>
          <w:sz w:val="24"/>
          <w:szCs w:val="24"/>
          <w:lang w:eastAsia="cs-CZ"/>
        </w:rPr>
        <w:t>nepatrné náklady – poštovné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f) Výčet poskytnutých výhradních licencí - </w:t>
      </w:r>
      <w:r w:rsidRPr="00514DC9">
        <w:rPr>
          <w:rFonts w:ascii="Garamond" w:hAnsi="Garamond"/>
          <w:b/>
          <w:color w:val="030303"/>
          <w:sz w:val="24"/>
          <w:szCs w:val="24"/>
          <w:lang w:eastAsia="cs-CZ"/>
        </w:rPr>
        <w:t>0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b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g) Počet stížností podaných podle § 16a zákona č. 106/1999 Sb., důvody jejich podání a stručný popis způsobu jejich vyřízení – </w:t>
      </w:r>
      <w:r w:rsidRPr="00514DC9">
        <w:rPr>
          <w:rFonts w:ascii="Garamond" w:hAnsi="Garamond"/>
          <w:b/>
          <w:color w:val="030303"/>
          <w:sz w:val="24"/>
          <w:szCs w:val="24"/>
          <w:lang w:eastAsia="cs-CZ"/>
        </w:rPr>
        <w:t>0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>h) Další informace vztahující se k uplatňování tohoto zákona</w:t>
      </w:r>
    </w:p>
    <w:p w:rsidR="000971EE" w:rsidRPr="00514DC9" w:rsidRDefault="000971EE" w:rsidP="000971EE">
      <w:pPr>
        <w:shd w:val="clear" w:color="auto" w:fill="FFFFFF"/>
        <w:spacing w:after="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lastRenderedPageBreak/>
        <w:t>Lhůta pro podání informace v roce 202</w:t>
      </w:r>
      <w:r w:rsidR="00A17476">
        <w:rPr>
          <w:rFonts w:ascii="Garamond" w:hAnsi="Garamond"/>
          <w:color w:val="030303"/>
          <w:sz w:val="24"/>
          <w:szCs w:val="24"/>
          <w:lang w:eastAsia="cs-CZ"/>
        </w:rPr>
        <w:t>2</w:t>
      </w: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 činila 15 dnů od přijetí podání nebo upřesnění žádosti, tato mohla být prodloužena ze závažných důvodů, nejvýše však o deset dní. Lhůta pro odkázání na zveřejněnou informaci činila 7 dnů, lhůta pro odmítnutí žádosti činila 30 dnů od neupřesnění žádosti a lhůta pro sdělení skutečnosti o odložení žádosti činila 7 dnů. </w:t>
      </w:r>
    </w:p>
    <w:p w:rsidR="000971EE" w:rsidRPr="00514DC9" w:rsidRDefault="000971EE" w:rsidP="000971EE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b/>
          <w:bCs/>
          <w:color w:val="030303"/>
          <w:sz w:val="24"/>
          <w:szCs w:val="24"/>
          <w:lang w:eastAsia="cs-CZ"/>
        </w:rPr>
        <w:t xml:space="preserve">Nový Jičín </w:t>
      </w:r>
      <w:r w:rsidR="00A17476">
        <w:rPr>
          <w:rFonts w:ascii="Garamond" w:hAnsi="Garamond"/>
          <w:b/>
          <w:bCs/>
          <w:color w:val="030303"/>
          <w:sz w:val="24"/>
          <w:szCs w:val="24"/>
          <w:lang w:eastAsia="cs-CZ"/>
        </w:rPr>
        <w:t>2. 1. 2023</w:t>
      </w:r>
    </w:p>
    <w:p w:rsidR="000971EE" w:rsidRPr="00514DC9" w:rsidRDefault="000971EE" w:rsidP="000971EE">
      <w:pPr>
        <w:shd w:val="clear" w:color="auto" w:fill="FFFFFF"/>
        <w:spacing w:after="0" w:line="240" w:lineRule="auto"/>
        <w:outlineLvl w:val="2"/>
        <w:rPr>
          <w:rFonts w:ascii="Garamond" w:hAnsi="Garamond"/>
          <w:b/>
          <w:bCs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10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</w:p>
    <w:p w:rsidR="000971EE" w:rsidRPr="00514DC9" w:rsidRDefault="000971EE" w:rsidP="000971EE">
      <w:pPr>
        <w:shd w:val="clear" w:color="auto" w:fill="FFFFFF"/>
        <w:spacing w:after="10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>Mgr. Jaroslav Sosík</w:t>
      </w:r>
    </w:p>
    <w:p w:rsidR="000971EE" w:rsidRPr="00514DC9" w:rsidRDefault="000971EE" w:rsidP="000971EE">
      <w:pPr>
        <w:shd w:val="clear" w:color="auto" w:fill="FFFFFF"/>
        <w:spacing w:after="100"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 xml:space="preserve">předseda </w:t>
      </w:r>
    </w:p>
    <w:p w:rsidR="000971EE" w:rsidRPr="00514DC9" w:rsidRDefault="000971EE" w:rsidP="000971EE">
      <w:pPr>
        <w:shd w:val="clear" w:color="auto" w:fill="FFFFFF"/>
        <w:spacing w:after="100" w:line="384" w:lineRule="atLeast"/>
        <w:jc w:val="both"/>
      </w:pPr>
      <w:r w:rsidRPr="00514DC9">
        <w:rPr>
          <w:rFonts w:ascii="Garamond" w:hAnsi="Garamond"/>
          <w:color w:val="030303"/>
          <w:sz w:val="24"/>
          <w:szCs w:val="24"/>
          <w:lang w:eastAsia="cs-CZ"/>
        </w:rPr>
        <w:t>Okresního soudu v Novém Jičíně</w:t>
      </w:r>
    </w:p>
    <w:p w:rsidR="000971EE" w:rsidRPr="00514DC9" w:rsidRDefault="000971EE" w:rsidP="000971EE"/>
    <w:p w:rsidR="000971EE" w:rsidRPr="00514DC9" w:rsidRDefault="000971EE" w:rsidP="000971EE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EE"/>
    <w:rsid w:val="000971EE"/>
    <w:rsid w:val="001E7565"/>
    <w:rsid w:val="004177C2"/>
    <w:rsid w:val="00A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7F27"/>
  <w15:chartTrackingRefBased/>
  <w15:docId w15:val="{E325DF0E-49F0-49DD-946A-3462E36A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1EE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5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2</cp:revision>
  <cp:lastPrinted>2023-01-02T09:16:00Z</cp:lastPrinted>
  <dcterms:created xsi:type="dcterms:W3CDTF">2023-01-02T08:24:00Z</dcterms:created>
  <dcterms:modified xsi:type="dcterms:W3CDTF">2023-01-02T09:16:00Z</dcterms:modified>
</cp:coreProperties>
</file>