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856322" w:rsidRDefault="00856322"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491/2023</w:t>
      </w:r>
      <w:r w:rsidR="0059267B">
        <w:rPr>
          <w:rFonts w:ascii="Garamond" w:hAnsi="Garamond"/>
          <w:spacing w:val="20"/>
          <w:sz w:val="28"/>
          <w:szCs w:val="28"/>
          <w:lang w:eastAsia="cs-CZ"/>
        </w:rPr>
        <w:t>)</w:t>
      </w:r>
    </w:p>
    <w:p w:rsidR="0059267B" w:rsidRPr="00B64008" w:rsidRDefault="0059267B"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777/2023)</w:t>
      </w:r>
    </w:p>
    <w:p w:rsidR="00A03744" w:rsidRDefault="00A03744" w:rsidP="00B64008">
      <w:pPr>
        <w:spacing w:after="0" w:line="240" w:lineRule="auto"/>
        <w:rPr>
          <w:rFonts w:ascii="Garamond" w:hAnsi="Garamond"/>
          <w:spacing w:val="20"/>
          <w:sz w:val="28"/>
          <w:szCs w:val="28"/>
          <w:lang w:eastAsia="cs-CZ"/>
        </w:rPr>
      </w:pPr>
      <w:r>
        <w:rPr>
          <w:rFonts w:ascii="Garamond" w:hAnsi="Garamond"/>
          <w:b/>
          <w:spacing w:val="20"/>
          <w:sz w:val="24"/>
          <w:szCs w:val="24"/>
          <w:lang w:eastAsia="cs-CZ"/>
        </w:rPr>
        <w:tab/>
      </w:r>
      <w:r>
        <w:rPr>
          <w:rFonts w:ascii="Garamond" w:hAnsi="Garamond"/>
          <w:b/>
          <w:spacing w:val="20"/>
          <w:sz w:val="24"/>
          <w:szCs w:val="24"/>
          <w:lang w:eastAsia="cs-CZ"/>
        </w:rPr>
        <w:tab/>
      </w:r>
      <w:r>
        <w:rPr>
          <w:rFonts w:ascii="Garamond" w:hAnsi="Garamond"/>
          <w:b/>
          <w:spacing w:val="20"/>
          <w:sz w:val="24"/>
          <w:szCs w:val="24"/>
          <w:lang w:eastAsia="cs-CZ"/>
        </w:rPr>
        <w:tab/>
        <w:t xml:space="preserve">   </w:t>
      </w:r>
      <w:r>
        <w:rPr>
          <w:rFonts w:ascii="Garamond" w:hAnsi="Garamond"/>
          <w:b/>
          <w:spacing w:val="20"/>
          <w:sz w:val="24"/>
          <w:szCs w:val="24"/>
          <w:lang w:eastAsia="cs-CZ"/>
        </w:rPr>
        <w:tab/>
      </w:r>
      <w:r w:rsidRPr="00A03744">
        <w:rPr>
          <w:rFonts w:ascii="Garamond" w:hAnsi="Garamond"/>
          <w:b/>
          <w:spacing w:val="20"/>
          <w:sz w:val="28"/>
          <w:szCs w:val="28"/>
          <w:lang w:eastAsia="cs-CZ"/>
        </w:rPr>
        <w:t xml:space="preserve">       </w:t>
      </w:r>
      <w:r w:rsidRPr="00A03744">
        <w:rPr>
          <w:rFonts w:ascii="Garamond" w:hAnsi="Garamond"/>
          <w:spacing w:val="20"/>
          <w:sz w:val="28"/>
          <w:szCs w:val="28"/>
          <w:lang w:eastAsia="cs-CZ"/>
        </w:rPr>
        <w:t xml:space="preserve">ve znění změny č. </w:t>
      </w:r>
      <w:r>
        <w:rPr>
          <w:rFonts w:ascii="Garamond" w:hAnsi="Garamond"/>
          <w:spacing w:val="20"/>
          <w:sz w:val="28"/>
          <w:szCs w:val="28"/>
          <w:lang w:eastAsia="cs-CZ"/>
        </w:rPr>
        <w:t>4 s účinností od 1. 5.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932/2023)</w:t>
      </w:r>
    </w:p>
    <w:p w:rsidR="00B64008" w:rsidRPr="00A03744" w:rsidRDefault="00A03744" w:rsidP="00B64008">
      <w:pPr>
        <w:spacing w:after="0" w:line="240" w:lineRule="auto"/>
        <w:rPr>
          <w:rFonts w:ascii="Garamond" w:hAnsi="Garamond"/>
          <w:spacing w:val="20"/>
          <w:sz w:val="28"/>
          <w:szCs w:val="28"/>
          <w:lang w:eastAsia="cs-CZ"/>
        </w:rPr>
      </w:pPr>
      <w:r w:rsidRPr="00A03744">
        <w:rPr>
          <w:rFonts w:ascii="Garamond" w:hAnsi="Garamond"/>
          <w:spacing w:val="20"/>
          <w:sz w:val="28"/>
          <w:szCs w:val="28"/>
          <w:lang w:eastAsia="cs-CZ"/>
        </w:rPr>
        <w:tab/>
      </w:r>
      <w:r w:rsidR="00BB2C3F">
        <w:rPr>
          <w:rFonts w:ascii="Garamond" w:hAnsi="Garamond"/>
          <w:spacing w:val="20"/>
          <w:sz w:val="28"/>
          <w:szCs w:val="28"/>
          <w:lang w:eastAsia="cs-CZ"/>
        </w:rPr>
        <w:tab/>
      </w:r>
      <w:r w:rsidR="00BB2C3F">
        <w:rPr>
          <w:rFonts w:ascii="Garamond" w:hAnsi="Garamond"/>
          <w:spacing w:val="20"/>
          <w:sz w:val="28"/>
          <w:szCs w:val="28"/>
          <w:lang w:eastAsia="cs-CZ"/>
        </w:rPr>
        <w:tab/>
      </w:r>
      <w:r w:rsidR="00BB2C3F">
        <w:rPr>
          <w:rFonts w:ascii="Garamond" w:hAnsi="Garamond"/>
          <w:spacing w:val="20"/>
          <w:sz w:val="28"/>
          <w:szCs w:val="28"/>
          <w:lang w:eastAsia="cs-CZ"/>
        </w:rPr>
        <w:tab/>
        <w:t xml:space="preserve">       ve znění změny č. 5 s účinností od 1. 6. 2023 (</w:t>
      </w:r>
      <w:proofErr w:type="spellStart"/>
      <w:r w:rsidR="00BB2C3F">
        <w:rPr>
          <w:rFonts w:ascii="Garamond" w:hAnsi="Garamond"/>
          <w:spacing w:val="20"/>
          <w:sz w:val="28"/>
          <w:szCs w:val="28"/>
          <w:lang w:eastAsia="cs-CZ"/>
        </w:rPr>
        <w:t>Spr</w:t>
      </w:r>
      <w:proofErr w:type="spellEnd"/>
      <w:r w:rsidR="00BB2C3F">
        <w:rPr>
          <w:rFonts w:ascii="Garamond" w:hAnsi="Garamond"/>
          <w:spacing w:val="20"/>
          <w:sz w:val="28"/>
          <w:szCs w:val="28"/>
          <w:lang w:eastAsia="cs-CZ"/>
        </w:rPr>
        <w:t xml:space="preserve"> 1169/2023) </w:t>
      </w:r>
      <w:r w:rsidR="00BB2C3F">
        <w:rPr>
          <w:rFonts w:ascii="Garamond" w:hAnsi="Garamond"/>
          <w:spacing w:val="20"/>
          <w:sz w:val="28"/>
          <w:szCs w:val="28"/>
          <w:lang w:eastAsia="cs-CZ"/>
        </w:rPr>
        <w:tab/>
      </w: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267B" w:rsidRDefault="0059267B" w:rsidP="001E7478">
      <w:pPr>
        <w:spacing w:after="0" w:line="240" w:lineRule="auto"/>
        <w:ind w:firstLine="708"/>
        <w:rPr>
          <w:rFonts w:ascii="Garamond" w:hAnsi="Garamond"/>
          <w:b/>
          <w:spacing w:val="20"/>
          <w:sz w:val="48"/>
          <w:szCs w:val="48"/>
          <w:lang w:eastAsia="cs-CZ"/>
        </w:rPr>
      </w:pPr>
    </w:p>
    <w:p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rsidR="0059267B" w:rsidRDefault="0059267B" w:rsidP="0059267B">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Mgr. Jan </w:t>
            </w:r>
            <w:proofErr w:type="spellStart"/>
            <w:r w:rsidRPr="00127B19">
              <w:rPr>
                <w:rFonts w:ascii="Garamond" w:hAnsi="Garamond"/>
                <w:sz w:val="24"/>
                <w:szCs w:val="24"/>
                <w:lang w:eastAsia="cs-CZ"/>
              </w:rPr>
              <w:t>Martikán</w:t>
            </w:r>
            <w:proofErr w:type="spellEnd"/>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w:t>
            </w:r>
            <w:proofErr w:type="spellStart"/>
            <w:r w:rsidRPr="00127B19">
              <w:rPr>
                <w:rFonts w:ascii="Garamond" w:hAnsi="Garamond"/>
                <w:b/>
                <w:sz w:val="24"/>
                <w:szCs w:val="24"/>
                <w:lang w:eastAsia="cs-CZ"/>
              </w:rPr>
              <w:t>Chowaniec</w:t>
            </w:r>
            <w:proofErr w:type="spellEnd"/>
            <w:r w:rsidRPr="00127B19">
              <w:rPr>
                <w:rFonts w:ascii="Garamond" w:hAnsi="Garamond"/>
                <w:b/>
                <w:sz w:val="24"/>
                <w:szCs w:val="24"/>
                <w:lang w:eastAsia="cs-CZ"/>
              </w:rPr>
              <w:t xml:space="preserve">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Jan </w:t>
            </w:r>
            <w:proofErr w:type="spellStart"/>
            <w:r w:rsidRPr="00127B19">
              <w:rPr>
                <w:rFonts w:ascii="Garamond" w:hAnsi="Garamond"/>
                <w:b/>
                <w:sz w:val="24"/>
                <w:szCs w:val="24"/>
                <w:lang w:eastAsia="cs-CZ"/>
              </w:rPr>
              <w:t>Martikán</w:t>
            </w:r>
            <w:proofErr w:type="spellEnd"/>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Jana </w:t>
            </w:r>
            <w:proofErr w:type="spellStart"/>
            <w:r w:rsidRPr="00127B19">
              <w:rPr>
                <w:rFonts w:ascii="Garamond" w:hAnsi="Garamond"/>
                <w:b/>
                <w:sz w:val="24"/>
                <w:szCs w:val="24"/>
                <w:lang w:eastAsia="cs-CZ"/>
              </w:rPr>
              <w:t>Domonkošová</w:t>
            </w:r>
            <w:proofErr w:type="spellEnd"/>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lastRenderedPageBreak/>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lastRenderedPageBreak/>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595152" w:rsidRDefault="00595152" w:rsidP="006D7788">
      <w:pPr>
        <w:spacing w:after="0" w:line="240" w:lineRule="auto"/>
        <w:ind w:left="720"/>
        <w:jc w:val="both"/>
        <w:rPr>
          <w:rFonts w:ascii="Garamond" w:hAnsi="Garamond"/>
          <w:sz w:val="24"/>
          <w:szCs w:val="24"/>
          <w:lang w:eastAsia="cs-CZ"/>
        </w:rPr>
      </w:pPr>
    </w:p>
    <w:p w:rsidR="00595152" w:rsidRDefault="00595152" w:rsidP="00A73D54">
      <w:pPr>
        <w:spacing w:after="0" w:line="240" w:lineRule="auto"/>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lastRenderedPageBreak/>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lastRenderedPageBreak/>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360"/>
        <w:rPr>
          <w:rFonts w:ascii="Garamond" w:hAnsi="Garamond"/>
          <w:sz w:val="32"/>
          <w:szCs w:val="32"/>
          <w:lang w:eastAsia="cs-CZ"/>
        </w:rPr>
      </w:pPr>
    </w:p>
    <w:p w:rsidR="0059267B" w:rsidRDefault="0059267B" w:rsidP="00AA5178">
      <w:pPr>
        <w:spacing w:after="0" w:line="240" w:lineRule="auto"/>
        <w:ind w:left="360"/>
        <w:rPr>
          <w:rFonts w:ascii="Garamond" w:hAnsi="Garamond"/>
          <w:sz w:val="32"/>
          <w:szCs w:val="32"/>
          <w:lang w:eastAsia="cs-CZ"/>
        </w:rPr>
      </w:pPr>
    </w:p>
    <w:p w:rsidR="0059267B" w:rsidRPr="00AA5178" w:rsidRDefault="0059267B"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Jednací protokol o utajovaných informacích vede Monika Vašková (zástupce Lucie </w:t>
      </w:r>
      <w:proofErr w:type="spellStart"/>
      <w:r w:rsidRPr="00AA5178">
        <w:rPr>
          <w:rFonts w:ascii="Garamond" w:hAnsi="Garamond"/>
          <w:sz w:val="24"/>
          <w:szCs w:val="24"/>
          <w:lang w:eastAsia="cs-CZ"/>
        </w:rPr>
        <w:t>Zielonková</w:t>
      </w:r>
      <w:proofErr w:type="spellEnd"/>
      <w:r w:rsidRPr="00AA5178">
        <w:rPr>
          <w:rFonts w:ascii="Garamond" w:hAnsi="Garamond"/>
          <w:sz w:val="24"/>
          <w:szCs w:val="24"/>
          <w:lang w:eastAsia="cs-CZ"/>
        </w:rPr>
        <w:t>).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 xml:space="preserve">Martina </w:t>
      </w:r>
      <w:proofErr w:type="spellStart"/>
      <w:r w:rsidRPr="003D0BD8">
        <w:rPr>
          <w:rFonts w:ascii="Garamond" w:hAnsi="Garamond"/>
        </w:rPr>
        <w:t>Boturová</w:t>
      </w:r>
      <w:proofErr w:type="spellEnd"/>
      <w:r w:rsidRPr="003D0BD8">
        <w:rPr>
          <w:rFonts w:ascii="Garamond" w:hAnsi="Garamond"/>
        </w:rPr>
        <w:t xml:space="preserve"> a Vlasta </w:t>
      </w:r>
      <w:proofErr w:type="spellStart"/>
      <w:r w:rsidRPr="003D0BD8">
        <w:rPr>
          <w:rFonts w:ascii="Garamond" w:hAnsi="Garamond"/>
        </w:rPr>
        <w:t>Svrčková</w:t>
      </w:r>
      <w:proofErr w:type="spellEnd"/>
      <w:r w:rsidRPr="003D0BD8">
        <w:rPr>
          <w:rFonts w:ascii="Garamond" w:hAnsi="Garamond"/>
        </w:rPr>
        <w:t xml:space="preserve">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w:t>
            </w:r>
            <w:proofErr w:type="spellStart"/>
            <w:r w:rsidRPr="00A143C8">
              <w:rPr>
                <w:rFonts w:ascii="Garamond" w:hAnsi="Garamond"/>
                <w:b/>
                <w:sz w:val="24"/>
                <w:szCs w:val="24"/>
                <w:lang w:eastAsia="cs-CZ"/>
              </w:rPr>
              <w:t>Gražyna</w:t>
            </w:r>
            <w:proofErr w:type="spellEnd"/>
            <w:r w:rsidRPr="00A143C8">
              <w:rPr>
                <w:rFonts w:ascii="Garamond" w:hAnsi="Garamond"/>
                <w:b/>
                <w:sz w:val="24"/>
                <w:szCs w:val="24"/>
                <w:lang w:eastAsia="cs-CZ"/>
              </w:rPr>
              <w:t xml:space="preserve"> </w:t>
            </w:r>
            <w:proofErr w:type="spellStart"/>
            <w:r w:rsidRPr="00A143C8">
              <w:rPr>
                <w:rFonts w:ascii="Garamond" w:hAnsi="Garamond"/>
                <w:b/>
                <w:sz w:val="24"/>
                <w:szCs w:val="24"/>
                <w:lang w:eastAsia="cs-CZ"/>
              </w:rPr>
              <w:t>Pustówková</w:t>
            </w:r>
            <w:proofErr w:type="spellEnd"/>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1. Mgr. Jan </w:t>
            </w:r>
            <w:proofErr w:type="spellStart"/>
            <w:r w:rsidRPr="00AA5178">
              <w:rPr>
                <w:rFonts w:ascii="Garamond" w:hAnsi="Garamond"/>
                <w:bCs/>
                <w:sz w:val="24"/>
                <w:szCs w:val="24"/>
              </w:rPr>
              <w:t>Martikán</w:t>
            </w:r>
            <w:proofErr w:type="spellEnd"/>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2. Mgr. Hana </w:t>
            </w:r>
            <w:proofErr w:type="spellStart"/>
            <w:r w:rsidRPr="00AA5178">
              <w:rPr>
                <w:rFonts w:ascii="Garamond" w:hAnsi="Garamond"/>
                <w:bCs/>
                <w:sz w:val="24"/>
                <w:szCs w:val="24"/>
              </w:rPr>
              <w:t>Raszyková</w:t>
            </w:r>
            <w:proofErr w:type="spellEnd"/>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Ivana Szabó</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 xml:space="preserve">“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r w:rsidRPr="00AA5178">
              <w:rPr>
                <w:rFonts w:ascii="Garamond" w:hAnsi="Garamond"/>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r w:rsidRPr="00AA5178">
              <w:rPr>
                <w:rFonts w:ascii="Garamond" w:hAnsi="Garamond"/>
                <w:sz w:val="24"/>
                <w:szCs w:val="24"/>
                <w:lang w:eastAsia="cs-CZ"/>
              </w:rPr>
              <w:t xml:space="preserve"> </w:t>
            </w:r>
          </w:p>
          <w:p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Default="00595152"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Pr="00AA5178" w:rsidRDefault="00475146"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 xml:space="preserve">Mgr. Hana </w:t>
            </w:r>
            <w:proofErr w:type="spellStart"/>
            <w:r w:rsidRPr="00A143C8">
              <w:rPr>
                <w:rFonts w:ascii="Garamond" w:hAnsi="Garamond"/>
                <w:b/>
                <w:sz w:val="24"/>
                <w:szCs w:val="24"/>
                <w:lang w:eastAsia="cs-CZ"/>
              </w:rPr>
              <w:t>Raszyková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Jan </w:t>
            </w:r>
            <w:proofErr w:type="spellStart"/>
            <w:r w:rsidRPr="00AA5178">
              <w:rPr>
                <w:rFonts w:ascii="Garamond" w:hAnsi="Garamond"/>
                <w:sz w:val="24"/>
                <w:szCs w:val="24"/>
              </w:rPr>
              <w:t>Martikán</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JUDr. </w:t>
            </w:r>
            <w:proofErr w:type="spellStart"/>
            <w:r w:rsidRPr="00AA5178">
              <w:rPr>
                <w:rFonts w:ascii="Garamond" w:hAnsi="Garamond"/>
                <w:sz w:val="24"/>
                <w:szCs w:val="24"/>
              </w:rPr>
              <w:t>Gražyna</w:t>
            </w:r>
            <w:proofErr w:type="spellEnd"/>
            <w:r w:rsidRPr="00AA5178">
              <w:rPr>
                <w:rFonts w:ascii="Garamond" w:hAnsi="Garamond"/>
                <w:sz w:val="24"/>
                <w:szCs w:val="24"/>
              </w:rPr>
              <w:t xml:space="preserve"> </w:t>
            </w:r>
            <w:proofErr w:type="spellStart"/>
            <w:r w:rsidRPr="00AA5178">
              <w:rPr>
                <w:rFonts w:ascii="Garamond" w:hAnsi="Garamond"/>
                <w:sz w:val="24"/>
                <w:szCs w:val="24"/>
              </w:rPr>
              <w:t>Pustówková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w:t>
            </w:r>
            <w:proofErr w:type="spellStart"/>
            <w:r>
              <w:rPr>
                <w:rFonts w:ascii="Garamond" w:hAnsi="Garamond"/>
                <w:sz w:val="24"/>
                <w:szCs w:val="24"/>
                <w:lang w:eastAsia="cs-CZ"/>
              </w:rPr>
              <w:t>Gražyna</w:t>
            </w:r>
            <w:proofErr w:type="spellEnd"/>
            <w:r>
              <w:rPr>
                <w:rFonts w:ascii="Garamond" w:hAnsi="Garamond"/>
                <w:sz w:val="24"/>
                <w:szCs w:val="24"/>
                <w:lang w:eastAsia="cs-CZ"/>
              </w:rPr>
              <w:t xml:space="preserve"> </w:t>
            </w:r>
            <w:proofErr w:type="spellStart"/>
            <w:r>
              <w:rPr>
                <w:rFonts w:ascii="Garamond" w:hAnsi="Garamond"/>
                <w:sz w:val="24"/>
                <w:szCs w:val="24"/>
                <w:lang w:eastAsia="cs-CZ"/>
              </w:rPr>
              <w:t>Pustówková</w:t>
            </w:r>
            <w:proofErr w:type="spellEnd"/>
            <w:r>
              <w:rPr>
                <w:rFonts w:ascii="Garamond" w:hAnsi="Garamond"/>
                <w:sz w:val="24"/>
                <w:szCs w:val="24"/>
                <w:lang w:eastAsia="cs-CZ"/>
              </w:rPr>
              <w:t xml:space="preserve">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w:t>
            </w:r>
            <w:proofErr w:type="spellStart"/>
            <w:r w:rsidRPr="00AA5178">
              <w:rPr>
                <w:rFonts w:ascii="Garamond" w:hAnsi="Garamond"/>
                <w:sz w:val="24"/>
                <w:szCs w:val="24"/>
                <w:lang w:eastAsia="cs-CZ"/>
              </w:rPr>
              <w:t>Michaličková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Jan </w:t>
            </w:r>
            <w:proofErr w:type="spellStart"/>
            <w:r w:rsidRPr="00A143C8">
              <w:rPr>
                <w:rFonts w:ascii="Garamond" w:hAnsi="Garamond"/>
                <w:b/>
                <w:sz w:val="24"/>
                <w:szCs w:val="24"/>
                <w:lang w:eastAsia="cs-CZ"/>
              </w:rPr>
              <w:t>Martikán</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1. JUDr. </w:t>
            </w:r>
            <w:proofErr w:type="spellStart"/>
            <w:r w:rsidRPr="00AA5178">
              <w:rPr>
                <w:rFonts w:ascii="Garamond" w:hAnsi="Garamond"/>
                <w:bCs/>
                <w:sz w:val="24"/>
                <w:szCs w:val="24"/>
              </w:rPr>
              <w:t>Gražyna</w:t>
            </w:r>
            <w:proofErr w:type="spellEnd"/>
            <w:r w:rsidRPr="00AA5178">
              <w:rPr>
                <w:rFonts w:ascii="Garamond" w:hAnsi="Garamond"/>
                <w:bCs/>
                <w:sz w:val="24"/>
                <w:szCs w:val="24"/>
              </w:rPr>
              <w:t xml:space="preserve"> </w:t>
            </w:r>
            <w:proofErr w:type="spellStart"/>
            <w:r w:rsidRPr="00AA5178">
              <w:rPr>
                <w:rFonts w:ascii="Garamond" w:hAnsi="Garamond"/>
                <w:bCs/>
                <w:sz w:val="24"/>
                <w:szCs w:val="24"/>
              </w:rPr>
              <w:t>Pustówková</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3.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4. Mgr. Hana </w:t>
            </w:r>
            <w:proofErr w:type="spellStart"/>
            <w:r w:rsidRPr="00AA5178">
              <w:rPr>
                <w:rFonts w:ascii="Garamond" w:hAnsi="Garamond"/>
                <w:bCs/>
                <w:sz w:val="24"/>
                <w:szCs w:val="24"/>
              </w:rPr>
              <w:t>Raszyková</w:t>
            </w:r>
            <w:proofErr w:type="spellEnd"/>
          </w:p>
          <w:p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D46A0B" w:rsidRDefault="00D46A0B" w:rsidP="00AA5178">
            <w:pPr>
              <w:spacing w:after="0" w:line="240" w:lineRule="auto"/>
              <w:jc w:val="both"/>
              <w:rPr>
                <w:rFonts w:ascii="Garamond" w:hAnsi="Garamond"/>
                <w:bCs/>
                <w:sz w:val="24"/>
                <w:szCs w:val="24"/>
              </w:rPr>
            </w:pPr>
          </w:p>
          <w:p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 xml:space="preserve">Mgr. Petra </w:t>
            </w:r>
            <w:proofErr w:type="spellStart"/>
            <w:r>
              <w:rPr>
                <w:rFonts w:ascii="Garamond" w:hAnsi="Garamond"/>
                <w:bCs/>
                <w:sz w:val="24"/>
                <w:szCs w:val="24"/>
              </w:rPr>
              <w:t>Richterková</w:t>
            </w:r>
            <w:proofErr w:type="spellEnd"/>
            <w:r>
              <w:rPr>
                <w:rFonts w:ascii="Garamond" w:hAnsi="Garamond"/>
                <w:bCs/>
                <w:sz w:val="24"/>
                <w:szCs w:val="24"/>
              </w:rPr>
              <w:t xml:space="preserve"> – pro věci se specializací „KORUPCE“</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w:t>
            </w:r>
            <w:proofErr w:type="spellStart"/>
            <w:r w:rsidRPr="00AA5178">
              <w:rPr>
                <w:rFonts w:ascii="Garamond" w:hAnsi="Garamond"/>
                <w:sz w:val="24"/>
                <w:szCs w:val="24"/>
              </w:rPr>
              <w:t>Gražyna</w:t>
            </w:r>
            <w:proofErr w:type="spellEnd"/>
            <w:r w:rsidRPr="00AA5178">
              <w:rPr>
                <w:rFonts w:ascii="Garamond" w:hAnsi="Garamond"/>
                <w:sz w:val="24"/>
                <w:szCs w:val="24"/>
              </w:rPr>
              <w:t xml:space="preserve"> </w:t>
            </w:r>
            <w:proofErr w:type="spellStart"/>
            <w:r w:rsidRPr="00AA5178">
              <w:rPr>
                <w:rFonts w:ascii="Garamond" w:hAnsi="Garamond"/>
                <w:sz w:val="24"/>
                <w:szCs w:val="24"/>
              </w:rPr>
              <w:t>Pustówková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Mgr. Jan </w:t>
            </w:r>
            <w:proofErr w:type="spellStart"/>
            <w:r w:rsidRPr="00AA5178">
              <w:rPr>
                <w:rFonts w:ascii="Garamond" w:hAnsi="Garamond"/>
                <w:sz w:val="24"/>
                <w:szCs w:val="24"/>
              </w:rPr>
              <w:t>Martikán</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5. Mgr. Hana </w:t>
            </w:r>
            <w:proofErr w:type="spellStart"/>
            <w:r w:rsidRPr="00AA5178">
              <w:rPr>
                <w:rFonts w:ascii="Garamond" w:hAnsi="Garamond"/>
                <w:sz w:val="24"/>
                <w:szCs w:val="24"/>
              </w:rPr>
              <w:t>Raszyková</w:t>
            </w:r>
            <w:proofErr w:type="spellEnd"/>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Pavla </w:t>
            </w:r>
            <w:proofErr w:type="spellStart"/>
            <w:r>
              <w:rPr>
                <w:rFonts w:ascii="Garamond" w:hAnsi="Garamond"/>
                <w:sz w:val="24"/>
                <w:szCs w:val="24"/>
                <w:lang w:eastAsia="cs-CZ"/>
              </w:rPr>
              <w:t>Pindejová</w:t>
            </w:r>
            <w:proofErr w:type="spellEnd"/>
            <w:r w:rsidR="00595152"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Petra </w:t>
            </w:r>
            <w:proofErr w:type="spellStart"/>
            <w:r w:rsidRPr="00AA5178">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w:t>
            </w:r>
            <w:proofErr w:type="spellStart"/>
            <w:r w:rsidRPr="00AA5178">
              <w:rPr>
                <w:rFonts w:ascii="Garamond" w:hAnsi="Garamond"/>
                <w:sz w:val="24"/>
                <w:szCs w:val="24"/>
              </w:rPr>
              <w:t>Gražyna</w:t>
            </w:r>
            <w:proofErr w:type="spellEnd"/>
            <w:r w:rsidRPr="00AA5178">
              <w:rPr>
                <w:rFonts w:ascii="Garamond" w:hAnsi="Garamond"/>
                <w:sz w:val="24"/>
                <w:szCs w:val="24"/>
              </w:rPr>
              <w:t xml:space="preserve"> </w:t>
            </w:r>
            <w:proofErr w:type="spellStart"/>
            <w:r w:rsidRPr="00AA5178">
              <w:rPr>
                <w:rFonts w:ascii="Garamond" w:hAnsi="Garamond"/>
                <w:sz w:val="24"/>
                <w:szCs w:val="24"/>
              </w:rPr>
              <w:t>Pustówková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Hana </w:t>
            </w:r>
            <w:proofErr w:type="spellStart"/>
            <w:r w:rsidRPr="00AA5178">
              <w:rPr>
                <w:rFonts w:ascii="Garamond" w:hAnsi="Garamond"/>
                <w:sz w:val="24"/>
                <w:szCs w:val="24"/>
              </w:rPr>
              <w:t>Raszyková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5. Mgr. Jan </w:t>
            </w:r>
            <w:proofErr w:type="spellStart"/>
            <w:r w:rsidRPr="00AA5178">
              <w:rPr>
                <w:rFonts w:ascii="Garamond" w:hAnsi="Garamond"/>
                <w:sz w:val="24"/>
                <w:szCs w:val="24"/>
              </w:rPr>
              <w:t>Martikán</w:t>
            </w:r>
            <w:proofErr w:type="spellEnd"/>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Petra </w:t>
            </w:r>
            <w:proofErr w:type="spellStart"/>
            <w:r w:rsidRPr="00AA5178">
              <w:rPr>
                <w:rFonts w:ascii="Garamond" w:hAnsi="Garamond"/>
                <w:sz w:val="24"/>
                <w:szCs w:val="24"/>
                <w:lang w:eastAsia="cs-CZ"/>
              </w:rPr>
              <w:t>Richterková</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Lucie </w:t>
            </w:r>
            <w:proofErr w:type="spellStart"/>
            <w:r w:rsidRPr="00AA5178">
              <w:rPr>
                <w:rFonts w:ascii="Garamond" w:hAnsi="Garamond"/>
                <w:sz w:val="24"/>
                <w:szCs w:val="24"/>
                <w:lang w:eastAsia="cs-CZ"/>
              </w:rPr>
              <w:t>Zielonková</w:t>
            </w:r>
            <w:proofErr w:type="spellEnd"/>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Eva </w:t>
            </w:r>
            <w:proofErr w:type="spellStart"/>
            <w:r w:rsidRPr="00A143C8">
              <w:rPr>
                <w:rFonts w:ascii="Garamond" w:hAnsi="Garamond"/>
                <w:b/>
                <w:sz w:val="24"/>
                <w:szCs w:val="24"/>
                <w:lang w:eastAsia="cs-CZ"/>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Hana </w:t>
            </w:r>
            <w:proofErr w:type="spellStart"/>
            <w:r w:rsidRPr="00AA5178">
              <w:rPr>
                <w:rFonts w:ascii="Garamond" w:hAnsi="Garamond"/>
                <w:sz w:val="24"/>
                <w:szCs w:val="24"/>
              </w:rPr>
              <w:t>Raszyková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Jan </w:t>
            </w:r>
            <w:proofErr w:type="spellStart"/>
            <w:r w:rsidRPr="00AA5178">
              <w:rPr>
                <w:rFonts w:ascii="Garamond" w:hAnsi="Garamond"/>
                <w:sz w:val="24"/>
                <w:szCs w:val="24"/>
              </w:rPr>
              <w:t>Martikán</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5. JUDr. </w:t>
            </w:r>
            <w:proofErr w:type="spellStart"/>
            <w:r w:rsidRPr="00AA5178">
              <w:rPr>
                <w:rFonts w:ascii="Garamond" w:hAnsi="Garamond"/>
                <w:sz w:val="24"/>
                <w:szCs w:val="24"/>
              </w:rPr>
              <w:t>Gražyna</w:t>
            </w:r>
            <w:proofErr w:type="spellEnd"/>
            <w:r w:rsidRPr="00AA5178">
              <w:rPr>
                <w:rFonts w:ascii="Garamond" w:hAnsi="Garamond"/>
                <w:sz w:val="24"/>
                <w:szCs w:val="24"/>
              </w:rPr>
              <w:t xml:space="preserve"> </w:t>
            </w:r>
            <w:proofErr w:type="spellStart"/>
            <w:r w:rsidRPr="00AA5178">
              <w:rPr>
                <w:rFonts w:ascii="Garamond" w:hAnsi="Garamond"/>
                <w:sz w:val="24"/>
                <w:szCs w:val="24"/>
              </w:rPr>
              <w:t>Pustówková</w:t>
            </w:r>
            <w:proofErr w:type="spellEnd"/>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Default="00595152"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Pr="00AA5178" w:rsidRDefault="006315F8"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Lívia </w:t>
            </w:r>
            <w:proofErr w:type="spellStart"/>
            <w:r w:rsidRPr="00A143C8">
              <w:rPr>
                <w:rFonts w:ascii="Garamond" w:hAnsi="Garamond"/>
                <w:b/>
                <w:sz w:val="24"/>
                <w:szCs w:val="24"/>
                <w:lang w:eastAsia="cs-CZ"/>
              </w:rPr>
              <w:t>Laššáková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Petra </w:t>
            </w:r>
            <w:proofErr w:type="spellStart"/>
            <w:r w:rsidRPr="00A143C8">
              <w:rPr>
                <w:rFonts w:ascii="Garamond" w:hAnsi="Garamond"/>
                <w:b/>
                <w:sz w:val="24"/>
                <w:szCs w:val="24"/>
                <w:lang w:eastAsia="cs-CZ"/>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Lívia </w:t>
            </w:r>
            <w:proofErr w:type="spellStart"/>
            <w:r w:rsidRPr="00AA5178">
              <w:rPr>
                <w:rFonts w:ascii="Garamond" w:hAnsi="Garamond"/>
                <w:sz w:val="24"/>
                <w:szCs w:val="24"/>
              </w:rPr>
              <w:t>Laššáková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 xml:space="preserve">Jan </w:t>
            </w:r>
            <w:proofErr w:type="spellStart"/>
            <w:r w:rsidR="00B079BA">
              <w:rPr>
                <w:rFonts w:ascii="Garamond" w:hAnsi="Garamond"/>
                <w:sz w:val="24"/>
                <w:szCs w:val="24"/>
                <w:lang w:eastAsia="cs-CZ"/>
              </w:rPr>
              <w:t>Martikán</w:t>
            </w:r>
            <w:proofErr w:type="spellEnd"/>
            <w:r w:rsidRPr="00AA5178">
              <w:rPr>
                <w:rFonts w:ascii="Garamond" w:hAnsi="Garamond"/>
                <w:sz w:val="24"/>
                <w:szCs w:val="24"/>
                <w:lang w:eastAsia="cs-CZ"/>
              </w:rPr>
              <w:t>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Lívia </w:t>
            </w:r>
            <w:proofErr w:type="spellStart"/>
            <w:r w:rsidRPr="00AA5178">
              <w:rPr>
                <w:rFonts w:ascii="Garamond" w:hAnsi="Garamond"/>
                <w:sz w:val="24"/>
                <w:szCs w:val="24"/>
              </w:rPr>
              <w:t>Laššáková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 xml:space="preserve">Veronika </w:t>
            </w:r>
            <w:proofErr w:type="spellStart"/>
            <w:r w:rsidR="007F275C">
              <w:rPr>
                <w:rFonts w:ascii="Garamond" w:hAnsi="Garamond"/>
                <w:sz w:val="24"/>
                <w:szCs w:val="24"/>
                <w:lang w:eastAsia="cs-CZ"/>
              </w:rPr>
              <w:t>Dýrrová</w:t>
            </w:r>
            <w:proofErr w:type="spellEnd"/>
          </w:p>
          <w:p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Martina </w:t>
            </w:r>
            <w:proofErr w:type="spellStart"/>
            <w:r>
              <w:rPr>
                <w:rFonts w:ascii="Garamond" w:hAnsi="Garamond"/>
                <w:sz w:val="24"/>
                <w:szCs w:val="24"/>
                <w:lang w:eastAsia="cs-CZ"/>
              </w:rPr>
              <w:t>Boturová</w:t>
            </w:r>
            <w:proofErr w:type="spellEnd"/>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Lívia </w:t>
            </w:r>
            <w:proofErr w:type="spellStart"/>
            <w:r w:rsidRPr="00AA5178">
              <w:rPr>
                <w:rFonts w:ascii="Garamond" w:hAnsi="Garamond"/>
                <w:sz w:val="24"/>
                <w:szCs w:val="24"/>
              </w:rPr>
              <w:t>Laššáková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w:t>
            </w:r>
            <w:proofErr w:type="spellStart"/>
            <w:r w:rsidRPr="00AA5178">
              <w:rPr>
                <w:rFonts w:ascii="Garamond" w:hAnsi="Garamond"/>
                <w:sz w:val="24"/>
                <w:szCs w:val="24"/>
                <w:lang w:eastAsia="cs-CZ"/>
              </w:rPr>
              <w:t>Fabšíková</w:t>
            </w:r>
            <w:proofErr w:type="spellEnd"/>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80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w:t>
            </w:r>
            <w:proofErr w:type="spellStart"/>
            <w:r w:rsidR="00D77F43">
              <w:rPr>
                <w:rFonts w:ascii="Garamond" w:hAnsi="Garamond"/>
                <w:sz w:val="24"/>
                <w:szCs w:val="24"/>
                <w:lang w:eastAsia="cs-CZ"/>
              </w:rPr>
              <w:t>Svrčková</w:t>
            </w:r>
            <w:proofErr w:type="spellEnd"/>
            <w:r w:rsidR="00D77F43">
              <w:rPr>
                <w:rFonts w:ascii="Garamond" w:hAnsi="Garamond"/>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 xml:space="preserve">Veronika </w:t>
            </w:r>
            <w:proofErr w:type="spellStart"/>
            <w:r w:rsidR="00D77F43">
              <w:rPr>
                <w:rFonts w:ascii="Garamond" w:hAnsi="Garamond"/>
                <w:sz w:val="24"/>
                <w:szCs w:val="24"/>
                <w:lang w:eastAsia="cs-CZ"/>
              </w:rPr>
              <w:t>Dýrrová</w:t>
            </w:r>
            <w:proofErr w:type="spellEnd"/>
          </w:p>
          <w:p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Martina </w:t>
            </w:r>
            <w:proofErr w:type="spellStart"/>
            <w:r>
              <w:rPr>
                <w:rFonts w:ascii="Garamond" w:hAnsi="Garamond"/>
                <w:sz w:val="24"/>
                <w:szCs w:val="24"/>
                <w:lang w:eastAsia="cs-CZ"/>
              </w:rPr>
              <w:t>Boturová</w:t>
            </w:r>
            <w:proofErr w:type="spellEnd"/>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Lívia </w:t>
            </w:r>
            <w:proofErr w:type="spellStart"/>
            <w:r w:rsidRPr="00AA5178">
              <w:rPr>
                <w:rFonts w:ascii="Garamond" w:hAnsi="Garamond"/>
                <w:sz w:val="24"/>
                <w:szCs w:val="24"/>
              </w:rPr>
              <w:t>Laššáková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w:t>
            </w:r>
            <w:proofErr w:type="spellStart"/>
            <w:r w:rsidRPr="00AA5178">
              <w:rPr>
                <w:rFonts w:ascii="Garamond" w:hAnsi="Garamond"/>
                <w:sz w:val="24"/>
                <w:szCs w:val="24"/>
                <w:lang w:eastAsia="cs-CZ"/>
              </w:rPr>
              <w:t>Svrčková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Boturová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E40255" w:rsidP="00E40255">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lastRenderedPageBreak/>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B2C3F"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Default="00595152" w:rsidP="00AA5178"/>
    <w:p w:rsidR="00E40255" w:rsidRDefault="00E40255" w:rsidP="00AA5178"/>
    <w:p w:rsidR="00E40255" w:rsidRDefault="00E40255" w:rsidP="00AA5178"/>
    <w:p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A03744" w:rsidRPr="00AA5178" w:rsidRDefault="00A03744" w:rsidP="00F57EAE">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A03744" w:rsidRPr="00AA5178" w:rsidTr="00A90DE2">
        <w:trPr>
          <w:trHeight w:val="7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Bc. KRUPOVÁ Kateřina,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SOLICHOVÁ Lenka,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 xml:space="preserve">určí </w:t>
      </w:r>
      <w:r>
        <w:rPr>
          <w:rFonts w:ascii="Garamond" w:hAnsi="Garamond" w:cs="Garamond"/>
        </w:rPr>
        <w:t xml:space="preserve">  podle</w:t>
      </w:r>
      <w:proofErr w:type="gramEnd"/>
      <w:r>
        <w:rPr>
          <w:rFonts w:ascii="Garamond" w:hAnsi="Garamond" w:cs="Garamond"/>
        </w:rPr>
        <w:t xml:space="preserv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proofErr w:type="gramStart"/>
      <w:r w:rsidR="00390468">
        <w:rPr>
          <w:rFonts w:ascii="Garamond" w:hAnsi="Garamond"/>
        </w:rPr>
        <w:t>kanceláře  odpovídá</w:t>
      </w:r>
      <w:proofErr w:type="gramEnd"/>
      <w:r w:rsidR="00390468">
        <w:rPr>
          <w:rFonts w:ascii="Garamond" w:hAnsi="Garamond"/>
        </w:rPr>
        <w:t xml:space="preserve"> a práci dalším zaměstnancům přiděluje </w:t>
      </w:r>
      <w:r w:rsidR="00F57EAE">
        <w:rPr>
          <w:rFonts w:ascii="Garamond" w:hAnsi="Garamond"/>
        </w:rPr>
        <w:t xml:space="preserve">dozorčí úřednice Monika </w:t>
      </w:r>
      <w:proofErr w:type="spellStart"/>
      <w:r w:rsidR="00F57EAE">
        <w:rPr>
          <w:rFonts w:ascii="Garamond" w:hAnsi="Garamond"/>
        </w:rPr>
        <w:t>Sznapková</w:t>
      </w:r>
      <w:proofErr w:type="spellEnd"/>
      <w:r w:rsidR="00F57EAE">
        <w:rPr>
          <w:rFonts w:ascii="Garamond" w:hAnsi="Garamond"/>
        </w:rPr>
        <w:t xml:space="preserve"> </w:t>
      </w:r>
      <w:r w:rsidRPr="00221ABA">
        <w:rPr>
          <w:rFonts w:ascii="Garamond" w:hAnsi="Garamond"/>
        </w:rPr>
        <w:t xml:space="preserve">na pracovišti v Karviné a Radka </w:t>
      </w:r>
      <w:proofErr w:type="spellStart"/>
      <w:r w:rsidRPr="00221ABA">
        <w:rPr>
          <w:rFonts w:ascii="Garamond" w:hAnsi="Garamond"/>
        </w:rPr>
        <w:t>Jura</w:t>
      </w:r>
      <w:r w:rsidR="00390468">
        <w:rPr>
          <w:rFonts w:ascii="Garamond" w:hAnsi="Garamond"/>
        </w:rPr>
        <w:t>nková</w:t>
      </w:r>
      <w:proofErr w:type="spellEnd"/>
      <w:r w:rsidR="00390468">
        <w:rPr>
          <w:rFonts w:ascii="Garamond" w:hAnsi="Garamond"/>
        </w:rPr>
        <w:t xml:space="preserve"> na pracovišti v Havířově. Tyto osoby rovněž dbají o zdokonalování práce podřízených zaměstnanců a o prohlubování jejich znalostí.</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Úkony v rámci protestace směnek podle zákona č. 191/1950 Sb. vykonávají vyšší soudní úřednice Edita </w:t>
      </w:r>
      <w:proofErr w:type="spellStart"/>
      <w:r w:rsidRPr="00221ABA">
        <w:rPr>
          <w:rFonts w:ascii="Garamond" w:hAnsi="Garamond"/>
        </w:rPr>
        <w:t>Pisečná</w:t>
      </w:r>
      <w:proofErr w:type="spellEnd"/>
      <w:r w:rsidRPr="00221ABA">
        <w:rPr>
          <w:rFonts w:ascii="Garamond" w:hAnsi="Garamond"/>
        </w:rPr>
        <w:t xml:space="preserve"> na pracovišti v </w:t>
      </w:r>
      <w:proofErr w:type="gramStart"/>
      <w:r w:rsidRPr="00221ABA">
        <w:rPr>
          <w:rFonts w:ascii="Garamond" w:hAnsi="Garamond"/>
        </w:rPr>
        <w:t>Karviné a  vyšší</w:t>
      </w:r>
      <w:proofErr w:type="gramEnd"/>
      <w:r w:rsidRPr="00221ABA">
        <w:rPr>
          <w:rFonts w:ascii="Garamond" w:hAnsi="Garamond"/>
        </w:rPr>
        <w:t xml:space="preserve"> soudní úřednice Bc. Jana </w:t>
      </w:r>
      <w:proofErr w:type="spellStart"/>
      <w:r w:rsidRPr="00221ABA">
        <w:rPr>
          <w:rFonts w:ascii="Garamond" w:hAnsi="Garamond"/>
        </w:rPr>
        <w:t>Vlachopulosová</w:t>
      </w:r>
      <w:proofErr w:type="spellEnd"/>
      <w:r w:rsidRPr="00221ABA">
        <w:rPr>
          <w:rFonts w:ascii="Garamond" w:hAnsi="Garamond"/>
        </w:rPr>
        <w:t xml:space="preserve">, </w:t>
      </w:r>
      <w:proofErr w:type="spellStart"/>
      <w:r w:rsidRPr="00221ABA">
        <w:rPr>
          <w:rFonts w:ascii="Garamond" w:hAnsi="Garamond"/>
        </w:rPr>
        <w:t>DiS</w:t>
      </w:r>
      <w:proofErr w:type="spellEnd"/>
      <w:r w:rsidRPr="00221ABA">
        <w:rPr>
          <w:rFonts w:ascii="Garamond" w:hAnsi="Garamond"/>
        </w:rPr>
        <w:t xml:space="preserve">. </w:t>
      </w:r>
      <w:proofErr w:type="gramStart"/>
      <w:r w:rsidRPr="00221ABA">
        <w:rPr>
          <w:rFonts w:ascii="Garamond" w:hAnsi="Garamond"/>
        </w:rPr>
        <w:t>na</w:t>
      </w:r>
      <w:proofErr w:type="gramEnd"/>
      <w:r w:rsidRPr="00221ABA">
        <w:rPr>
          <w:rFonts w:ascii="Garamond" w:hAnsi="Garamond"/>
        </w:rPr>
        <w:t xml:space="preserve">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 xml:space="preserve">Radka </w:t>
      </w:r>
      <w:proofErr w:type="spellStart"/>
      <w:r w:rsidRPr="00221ABA">
        <w:rPr>
          <w:rFonts w:ascii="Garamond" w:hAnsi="Garamond"/>
        </w:rPr>
        <w:t>Juranková</w:t>
      </w:r>
      <w:proofErr w:type="spellEnd"/>
      <w:r w:rsidRPr="00221ABA">
        <w:rPr>
          <w:rFonts w:ascii="Garamond" w:hAnsi="Garamond"/>
        </w:rPr>
        <w:t xml:space="preserve">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Pavel </w:t>
            </w:r>
            <w:proofErr w:type="spellStart"/>
            <w:r w:rsidRPr="00D33A37">
              <w:rPr>
                <w:rFonts w:ascii="Garamond" w:hAnsi="Garamond"/>
                <w:color w:val="000000"/>
                <w:sz w:val="24"/>
                <w:szCs w:val="24"/>
                <w:lang w:eastAsia="cs-CZ"/>
              </w:rPr>
              <w:t>Dembický</w:t>
            </w:r>
            <w:proofErr w:type="spellEnd"/>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Jana </w:t>
            </w:r>
            <w:proofErr w:type="spellStart"/>
            <w:r w:rsidRPr="00D33A37">
              <w:rPr>
                <w:rFonts w:ascii="Garamond" w:hAnsi="Garamond"/>
                <w:b/>
                <w:color w:val="000000"/>
                <w:sz w:val="24"/>
                <w:szCs w:val="24"/>
                <w:lang w:eastAsia="cs-CZ"/>
              </w:rPr>
              <w:t>Babušková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Bc. Iva </w:t>
            </w:r>
            <w:proofErr w:type="spellStart"/>
            <w:r w:rsidRPr="00D33A37">
              <w:rPr>
                <w:rFonts w:ascii="Garamond" w:hAnsi="Garamond"/>
                <w:color w:val="000000"/>
                <w:sz w:val="24"/>
                <w:szCs w:val="24"/>
                <w:lang w:eastAsia="cs-CZ"/>
              </w:rPr>
              <w:t>Bortlíková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Irena </w:t>
            </w:r>
            <w:proofErr w:type="spellStart"/>
            <w:r w:rsidRPr="003C7C00">
              <w:rPr>
                <w:rFonts w:ascii="Garamond" w:hAnsi="Garamond"/>
                <w:b/>
                <w:sz w:val="24"/>
                <w:szCs w:val="24"/>
                <w:lang w:eastAsia="cs-CZ"/>
              </w:rPr>
              <w:t>Trombiková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Irena </w:t>
            </w:r>
            <w:proofErr w:type="spellStart"/>
            <w:r w:rsidRPr="003C7C00">
              <w:rPr>
                <w:rFonts w:ascii="Garamond" w:hAnsi="Garamond"/>
                <w:sz w:val="24"/>
                <w:szCs w:val="24"/>
                <w:lang w:eastAsia="cs-CZ"/>
              </w:rPr>
              <w:t>Trombiková</w:t>
            </w:r>
            <w:proofErr w:type="spellEnd"/>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Ing. Marie </w:t>
            </w:r>
            <w:proofErr w:type="spellStart"/>
            <w:r w:rsidRPr="003C7C00">
              <w:rPr>
                <w:rFonts w:ascii="Garamond" w:hAnsi="Garamond"/>
                <w:sz w:val="24"/>
                <w:szCs w:val="24"/>
                <w:lang w:eastAsia="cs-CZ"/>
              </w:rPr>
              <w:t>Miczková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Ing. Marie </w:t>
            </w:r>
            <w:proofErr w:type="spellStart"/>
            <w:r w:rsidRPr="003C7C00">
              <w:rPr>
                <w:rFonts w:ascii="Garamond" w:hAnsi="Garamond"/>
                <w:b/>
                <w:sz w:val="24"/>
                <w:szCs w:val="24"/>
                <w:lang w:eastAsia="cs-CZ"/>
              </w:rPr>
              <w:t>Miczková</w:t>
            </w:r>
            <w:proofErr w:type="spellEnd"/>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Jana </w:t>
            </w:r>
            <w:proofErr w:type="spellStart"/>
            <w:r w:rsidRPr="003C7C00">
              <w:rPr>
                <w:rFonts w:ascii="Garamond" w:hAnsi="Garamond"/>
                <w:sz w:val="24"/>
                <w:szCs w:val="24"/>
                <w:lang w:eastAsia="cs-CZ"/>
              </w:rPr>
              <w:t>Babušková</w:t>
            </w:r>
            <w:proofErr w:type="spellEnd"/>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 xml:space="preserve">Klára </w:t>
            </w:r>
            <w:proofErr w:type="spellStart"/>
            <w:r w:rsidR="0025626D">
              <w:rPr>
                <w:rFonts w:ascii="Garamond" w:hAnsi="Garamond"/>
                <w:sz w:val="24"/>
                <w:szCs w:val="24"/>
                <w:lang w:eastAsia="cs-CZ"/>
              </w:rPr>
              <w:t>Polčáková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JUDr. Silvie </w:t>
            </w:r>
            <w:proofErr w:type="spellStart"/>
            <w:r w:rsidRPr="003C7C00">
              <w:rPr>
                <w:rFonts w:ascii="Garamond" w:hAnsi="Garamond"/>
                <w:b/>
                <w:sz w:val="24"/>
                <w:szCs w:val="24"/>
                <w:lang w:eastAsia="cs-CZ"/>
              </w:rPr>
              <w:t>Morongová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Ivana </w:t>
            </w:r>
            <w:proofErr w:type="spellStart"/>
            <w:r w:rsidRPr="003C7C00">
              <w:rPr>
                <w:rFonts w:ascii="Garamond" w:hAnsi="Garamond"/>
                <w:b/>
                <w:sz w:val="24"/>
                <w:szCs w:val="24"/>
                <w:lang w:eastAsia="cs-CZ"/>
              </w:rPr>
              <w:t>Josiekova</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Silvie </w:t>
            </w:r>
            <w:proofErr w:type="spellStart"/>
            <w:r w:rsidRPr="003C7C00">
              <w:rPr>
                <w:rFonts w:ascii="Garamond" w:hAnsi="Garamond"/>
                <w:sz w:val="24"/>
                <w:szCs w:val="24"/>
                <w:lang w:eastAsia="cs-CZ"/>
              </w:rPr>
              <w:t>Morongová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Michaela </w:t>
            </w:r>
            <w:proofErr w:type="spellStart"/>
            <w:r w:rsidRPr="003C7C00">
              <w:rPr>
                <w:rFonts w:ascii="Garamond" w:hAnsi="Garamond"/>
                <w:sz w:val="24"/>
                <w:szCs w:val="24"/>
                <w:lang w:eastAsia="cs-CZ"/>
              </w:rPr>
              <w:t>Turčíková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Michaela </w:t>
            </w:r>
            <w:proofErr w:type="spellStart"/>
            <w:r w:rsidRPr="003C7C00">
              <w:rPr>
                <w:rFonts w:ascii="Garamond" w:hAnsi="Garamond"/>
                <w:b/>
                <w:sz w:val="24"/>
                <w:szCs w:val="24"/>
                <w:lang w:eastAsia="cs-CZ"/>
              </w:rPr>
              <w:t>Turčíková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Andrea </w:t>
            </w:r>
            <w:proofErr w:type="spellStart"/>
            <w:r w:rsidRPr="003C7C00">
              <w:rPr>
                <w:rFonts w:ascii="Garamond" w:hAnsi="Garamond"/>
                <w:sz w:val="24"/>
                <w:szCs w:val="24"/>
                <w:lang w:eastAsia="cs-CZ"/>
              </w:rPr>
              <w:t>Žvaková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 xml:space="preserve">Mgr. Klára </w:t>
            </w:r>
            <w:proofErr w:type="spellStart"/>
            <w:r w:rsidRPr="003C7C00">
              <w:rPr>
                <w:rFonts w:ascii="Garamond" w:hAnsi="Garamond"/>
                <w:b/>
                <w:sz w:val="24"/>
                <w:szCs w:val="24"/>
                <w:lang w:eastAsia="cs-CZ"/>
              </w:rPr>
              <w:t>Polčáková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bookmarkStart w:id="0" w:name="_GoBack"/>
            <w:bookmarkEnd w:id="0"/>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rsidTr="00C01D6E">
        <w:trPr>
          <w:cantSplit/>
          <w:trHeight w:val="340"/>
        </w:trPr>
        <w:tc>
          <w:tcPr>
            <w:tcW w:w="1134" w:type="dxa"/>
            <w:vMerge w:val="restart"/>
            <w:shd w:val="clear" w:color="auto" w:fill="D9D9D9"/>
          </w:tcPr>
          <w:p w:rsidR="00375B98" w:rsidRDefault="00375B98" w:rsidP="00D15311">
            <w:pPr>
              <w:spacing w:after="0" w:line="240" w:lineRule="auto"/>
              <w:jc w:val="center"/>
              <w:rPr>
                <w:rFonts w:ascii="Garamond" w:hAnsi="Garamond"/>
                <w:b/>
                <w:sz w:val="24"/>
                <w:szCs w:val="24"/>
                <w:lang w:eastAsia="cs-CZ"/>
              </w:rPr>
            </w:pPr>
          </w:p>
          <w:p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375B98" w:rsidRPr="00D33A37" w:rsidRDefault="00375B98" w:rsidP="003C7C00">
            <w:pPr>
              <w:spacing w:after="0" w:line="240" w:lineRule="auto"/>
              <w:jc w:val="both"/>
              <w:rPr>
                <w:rFonts w:ascii="Garamond" w:hAnsi="Garamond"/>
                <w:b/>
                <w:color w:val="000000"/>
                <w:sz w:val="24"/>
                <w:szCs w:val="24"/>
                <w:lang w:eastAsia="cs-CZ"/>
              </w:rPr>
            </w:pPr>
          </w:p>
          <w:p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JUDr. Jan </w:t>
            </w:r>
            <w:proofErr w:type="spellStart"/>
            <w:r w:rsidRPr="00D33A37">
              <w:rPr>
                <w:rFonts w:ascii="Times New Roman" w:hAnsi="Times New Roman"/>
                <w:color w:val="000000"/>
                <w:sz w:val="24"/>
                <w:szCs w:val="24"/>
                <w:lang w:eastAsia="cs-CZ"/>
              </w:rPr>
              <w:t>Chowaniec</w:t>
            </w:r>
            <w:proofErr w:type="spellEnd"/>
          </w:p>
          <w:p w:rsidR="00375B98" w:rsidRPr="00D33A37" w:rsidRDefault="00375B98" w:rsidP="003C7C00">
            <w:pPr>
              <w:spacing w:after="0" w:line="240" w:lineRule="auto"/>
              <w:jc w:val="both"/>
              <w:rPr>
                <w:rFonts w:ascii="Times New Roman" w:hAnsi="Times New Roman"/>
                <w:color w:val="000000"/>
                <w:sz w:val="24"/>
                <w:szCs w:val="24"/>
                <w:lang w:eastAsia="cs-CZ"/>
              </w:rPr>
            </w:pPr>
          </w:p>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97"/>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Bc. Iva </w:t>
            </w:r>
            <w:proofErr w:type="spellStart"/>
            <w:r w:rsidRPr="00D33A37">
              <w:rPr>
                <w:rFonts w:ascii="Garamond" w:hAnsi="Garamond"/>
                <w:color w:val="000000"/>
                <w:sz w:val="24"/>
                <w:szCs w:val="24"/>
                <w:lang w:eastAsia="cs-CZ"/>
              </w:rPr>
              <w:t>Bortlíková</w:t>
            </w:r>
            <w:proofErr w:type="spellEnd"/>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2" w:type="dxa"/>
            <w:gridSpan w:val="2"/>
          </w:tcPr>
          <w:p w:rsidR="00375B98"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Petra </w:t>
            </w:r>
            <w:proofErr w:type="spellStart"/>
            <w:r>
              <w:rPr>
                <w:rFonts w:ascii="Garamond" w:hAnsi="Garamond"/>
                <w:color w:val="000000"/>
                <w:sz w:val="24"/>
                <w:szCs w:val="24"/>
                <w:lang w:eastAsia="cs-CZ"/>
              </w:rPr>
              <w:t>Drobišová</w:t>
            </w:r>
            <w:proofErr w:type="spellEnd"/>
          </w:p>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 Cd)</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2" w:type="dxa"/>
            <w:gridSpan w:val="2"/>
          </w:tcPr>
          <w:p w:rsidR="00375B98" w:rsidRPr="00D33A37" w:rsidRDefault="00375B98" w:rsidP="00375B9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Martina Kaiserová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10. 2022 nápad zastaven.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Mgr. Irena </w:t>
            </w:r>
            <w:proofErr w:type="spellStart"/>
            <w:r w:rsidRPr="003C7C00">
              <w:rPr>
                <w:rFonts w:ascii="Times New Roman" w:hAnsi="Times New Roman"/>
                <w:b/>
                <w:sz w:val="24"/>
                <w:szCs w:val="24"/>
                <w:lang w:eastAsia="cs-CZ"/>
              </w:rPr>
              <w:t>Trombiková</w:t>
            </w:r>
            <w:proofErr w:type="spellEnd"/>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705288" w:rsidRDefault="003B1DD3" w:rsidP="003B1DD3">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B1DD3">
            <w:pPr>
              <w:spacing w:after="0" w:line="240" w:lineRule="auto"/>
              <w:rPr>
                <w:rFonts w:ascii="Garamond" w:hAnsi="Garamond"/>
                <w:sz w:val="24"/>
                <w:szCs w:val="24"/>
                <w:lang w:eastAsia="cs-CZ"/>
              </w:rPr>
            </w:pPr>
            <w:r w:rsidRPr="00705288">
              <w:rPr>
                <w:rFonts w:ascii="Garamond" w:hAnsi="Garamond"/>
                <w:b/>
                <w:sz w:val="24"/>
                <w:szCs w:val="24"/>
                <w:lang w:eastAsia="cs-CZ"/>
              </w:rPr>
              <w:t xml:space="preserve">Od 1. </w:t>
            </w:r>
            <w:r>
              <w:rPr>
                <w:rFonts w:ascii="Garamond" w:hAnsi="Garamond"/>
                <w:b/>
                <w:sz w:val="24"/>
                <w:szCs w:val="24"/>
                <w:lang w:eastAsia="cs-CZ"/>
              </w:rPr>
              <w:t>3</w:t>
            </w:r>
            <w:r w:rsidRPr="00705288">
              <w:rPr>
                <w:rFonts w:ascii="Garamond" w:hAnsi="Garamond"/>
                <w:b/>
                <w:sz w:val="24"/>
                <w:szCs w:val="24"/>
                <w:lang w:eastAsia="cs-CZ"/>
              </w:rPr>
              <w:t>. 202</w:t>
            </w:r>
            <w:r>
              <w:rPr>
                <w:rFonts w:ascii="Garamond" w:hAnsi="Garamond"/>
                <w:b/>
                <w:sz w:val="24"/>
                <w:szCs w:val="24"/>
                <w:lang w:eastAsia="cs-CZ"/>
              </w:rPr>
              <w:t>3</w:t>
            </w:r>
            <w:r w:rsidRPr="00705288">
              <w:rPr>
                <w:rFonts w:ascii="Garamond" w:hAnsi="Garamond"/>
                <w:b/>
                <w:sz w:val="24"/>
                <w:szCs w:val="24"/>
                <w:lang w:eastAsia="cs-CZ"/>
              </w:rPr>
              <w:t xml:space="preserve">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 xml:space="preserve">JUDr. Eva </w:t>
            </w:r>
            <w:proofErr w:type="spellStart"/>
            <w:r w:rsidRPr="00D33A37">
              <w:rPr>
                <w:rFonts w:ascii="Times New Roman" w:hAnsi="Times New Roman"/>
                <w:b/>
                <w:color w:val="000000"/>
                <w:sz w:val="24"/>
                <w:szCs w:val="24"/>
                <w:lang w:eastAsia="cs-CZ"/>
              </w:rPr>
              <w:t>Glombicová</w:t>
            </w:r>
            <w:proofErr w:type="spellEnd"/>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Mgr. Irena </w:t>
            </w:r>
            <w:proofErr w:type="spellStart"/>
            <w:r w:rsidRPr="003C7C00">
              <w:rPr>
                <w:rFonts w:ascii="Times New Roman" w:hAnsi="Times New Roman"/>
                <w:sz w:val="24"/>
                <w:szCs w:val="24"/>
                <w:lang w:eastAsia="cs-CZ"/>
              </w:rPr>
              <w:t>Trombiková</w:t>
            </w:r>
            <w:proofErr w:type="spellEnd"/>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Mgr. Jana </w:t>
            </w:r>
            <w:proofErr w:type="spellStart"/>
            <w:r w:rsidRPr="003C7C00">
              <w:rPr>
                <w:rFonts w:ascii="Times New Roman" w:hAnsi="Times New Roman"/>
                <w:b/>
                <w:sz w:val="24"/>
                <w:szCs w:val="24"/>
                <w:lang w:eastAsia="cs-CZ"/>
              </w:rPr>
              <w:t>Babušková</w:t>
            </w:r>
            <w:proofErr w:type="spellEnd"/>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Jana </w:t>
            </w:r>
            <w:proofErr w:type="spellStart"/>
            <w:r w:rsidRPr="003C7C00">
              <w:rPr>
                <w:rFonts w:ascii="Garamond" w:hAnsi="Garamond"/>
                <w:sz w:val="24"/>
                <w:szCs w:val="24"/>
                <w:lang w:eastAsia="cs-CZ"/>
              </w:rPr>
              <w:t>Babušková</w:t>
            </w:r>
            <w:proofErr w:type="spellEnd"/>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Veronika </w:t>
            </w:r>
            <w:proofErr w:type="spellStart"/>
            <w:r>
              <w:rPr>
                <w:rFonts w:ascii="Garamond" w:hAnsi="Garamond"/>
                <w:sz w:val="24"/>
                <w:szCs w:val="24"/>
                <w:lang w:eastAsia="cs-CZ"/>
              </w:rPr>
              <w:t>Tomiczková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Petra </w:t>
            </w:r>
            <w:proofErr w:type="spellStart"/>
            <w:r w:rsidRPr="003C7C00">
              <w:rPr>
                <w:rFonts w:ascii="Garamond" w:hAnsi="Garamond"/>
                <w:sz w:val="24"/>
                <w:szCs w:val="24"/>
                <w:lang w:eastAsia="cs-CZ"/>
              </w:rPr>
              <w:t>Drobišová</w:t>
            </w:r>
            <w:proofErr w:type="spellEnd"/>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Ing. Marie </w:t>
            </w:r>
            <w:proofErr w:type="spellStart"/>
            <w:r w:rsidRPr="003C7C00">
              <w:rPr>
                <w:rFonts w:ascii="Garamond" w:hAnsi="Garamond"/>
                <w:b/>
                <w:sz w:val="24"/>
                <w:szCs w:val="24"/>
                <w:lang w:eastAsia="cs-CZ"/>
              </w:rPr>
              <w:t>Miczková</w:t>
            </w:r>
            <w:proofErr w:type="spellEnd"/>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Default="00595152" w:rsidP="003C7C00">
      <w:pPr>
        <w:spacing w:after="0" w:line="240" w:lineRule="auto"/>
        <w:rPr>
          <w:rFonts w:ascii="Garamond" w:hAnsi="Garamond"/>
          <w:sz w:val="24"/>
          <w:szCs w:val="24"/>
          <w:lang w:eastAsia="cs-CZ"/>
        </w:rPr>
      </w:pPr>
    </w:p>
    <w:p w:rsidR="003F74ED" w:rsidRPr="003C7C00" w:rsidRDefault="003F74ED"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 xml:space="preserve">Jan </w:t>
            </w:r>
            <w:proofErr w:type="spellStart"/>
            <w:r w:rsidRPr="002B1CAB">
              <w:rPr>
                <w:rFonts w:ascii="Garamond" w:hAnsi="Garamond"/>
                <w:sz w:val="24"/>
                <w:szCs w:val="24"/>
                <w:lang w:eastAsia="cs-CZ"/>
              </w:rPr>
              <w:t>Chowaniec</w:t>
            </w:r>
            <w:proofErr w:type="spellEnd"/>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w:t>
            </w:r>
            <w:proofErr w:type="spellStart"/>
            <w:r w:rsidRPr="003C7C00">
              <w:rPr>
                <w:rFonts w:ascii="Garamond" w:hAnsi="Garamond"/>
                <w:lang w:eastAsia="cs-CZ"/>
              </w:rPr>
              <w:t>Korzonková</w:t>
            </w:r>
            <w:proofErr w:type="spellEnd"/>
            <w:r w:rsidRPr="003C7C00">
              <w:rPr>
                <w:rFonts w:ascii="Garamond" w:hAnsi="Garamond"/>
                <w:lang w:eastAsia="cs-CZ"/>
              </w:rPr>
              <w:t xml:space="preserve">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 xml:space="preserve">Andrea </w:t>
            </w:r>
            <w:proofErr w:type="spellStart"/>
            <w:r w:rsidRPr="003C7C00">
              <w:rPr>
                <w:rFonts w:ascii="Garamond" w:hAnsi="Garamond"/>
                <w:lang w:eastAsia="cs-CZ"/>
              </w:rPr>
              <w:t>Žvaková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595152" w:rsidRDefault="00595152"/>
    <w:p w:rsidR="00595152" w:rsidRDefault="00595152"/>
    <w:p w:rsidR="003F74ED" w:rsidRDefault="003F74ED"/>
    <w:p w:rsidR="003F74ED" w:rsidRDefault="003F74ED"/>
    <w:p w:rsidR="003F74ED" w:rsidRDefault="003F74ED"/>
    <w:p w:rsidR="003F74ED" w:rsidRDefault="003F74ED"/>
    <w:p w:rsidR="003F74ED" w:rsidRDefault="003F74ED"/>
    <w:p w:rsidR="003F74ED" w:rsidRDefault="003F74ED"/>
    <w:p w:rsidR="003F74ED" w:rsidRDefault="003F7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C873F2"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 xml:space="preserve">JUDr. Jan </w:t>
            </w:r>
            <w:proofErr w:type="spellStart"/>
            <w:r w:rsidRPr="00FD6D24">
              <w:rPr>
                <w:rFonts w:ascii="Garamond" w:hAnsi="Garamond"/>
                <w:b/>
                <w:sz w:val="24"/>
                <w:szCs w:val="24"/>
                <w:lang w:eastAsia="cs-CZ"/>
              </w:rPr>
              <w:t>Chowaniec</w:t>
            </w:r>
            <w:proofErr w:type="spellEnd"/>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 xml:space="preserve">Mgr. Ing. Marie </w:t>
            </w:r>
            <w:proofErr w:type="spellStart"/>
            <w:r w:rsidRPr="00FD6D24">
              <w:rPr>
                <w:rFonts w:ascii="Garamond" w:hAnsi="Garamond"/>
                <w:sz w:val="24"/>
                <w:szCs w:val="24"/>
                <w:lang w:eastAsia="cs-CZ"/>
              </w:rPr>
              <w:t>Miczková</w:t>
            </w:r>
            <w:proofErr w:type="spellEnd"/>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C873F2"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Mgr. Ing. Marie </w:t>
            </w:r>
            <w:proofErr w:type="spellStart"/>
            <w:r w:rsidRPr="003C7C00">
              <w:rPr>
                <w:rFonts w:ascii="Garamond" w:hAnsi="Garamond"/>
                <w:sz w:val="24"/>
                <w:szCs w:val="24"/>
                <w:lang w:eastAsia="cs-CZ"/>
              </w:rPr>
              <w:t>Miczková</w:t>
            </w:r>
            <w:proofErr w:type="spellEnd"/>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Andrea </w:t>
            </w:r>
            <w:proofErr w:type="spellStart"/>
            <w:r w:rsidRPr="003C7C00">
              <w:rPr>
                <w:rFonts w:ascii="Garamond" w:hAnsi="Garamond"/>
                <w:sz w:val="24"/>
                <w:szCs w:val="24"/>
                <w:lang w:eastAsia="cs-CZ"/>
              </w:rPr>
              <w:t>Žvaková</w:t>
            </w:r>
            <w:proofErr w:type="spellEnd"/>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r>
    </w:tbl>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Michaela </w:t>
            </w:r>
            <w:proofErr w:type="spellStart"/>
            <w:r w:rsidRPr="008A0B67">
              <w:rPr>
                <w:rFonts w:ascii="Garamond" w:hAnsi="Garamond"/>
                <w:sz w:val="24"/>
                <w:szCs w:val="24"/>
                <w:lang w:eastAsia="cs-CZ"/>
              </w:rPr>
              <w:t>Turčíková</w:t>
            </w:r>
            <w:proofErr w:type="spellEnd"/>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Pončová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Klára </w:t>
            </w:r>
            <w:proofErr w:type="spellStart"/>
            <w:r w:rsidRPr="008A0B67">
              <w:rPr>
                <w:rFonts w:ascii="Garamond" w:hAnsi="Garamond"/>
                <w:b/>
                <w:sz w:val="24"/>
                <w:szCs w:val="24"/>
                <w:lang w:eastAsia="cs-CZ"/>
              </w:rPr>
              <w:t>Polčáková</w:t>
            </w:r>
            <w:proofErr w:type="spellEnd"/>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w:t>
            </w:r>
            <w:proofErr w:type="spellStart"/>
            <w:r w:rsidRPr="008A0B67">
              <w:rPr>
                <w:rFonts w:ascii="Garamond" w:hAnsi="Garamond"/>
                <w:b/>
                <w:sz w:val="24"/>
                <w:szCs w:val="24"/>
                <w:lang w:eastAsia="cs-CZ"/>
              </w:rPr>
              <w:t>Del</w:t>
            </w:r>
            <w:proofErr w:type="spellEnd"/>
            <w:r w:rsidRPr="008A0B67">
              <w:rPr>
                <w:rFonts w:ascii="Garamond" w:hAnsi="Garamond"/>
                <w:b/>
                <w:sz w:val="24"/>
                <w:szCs w:val="24"/>
                <w:lang w:eastAsia="cs-CZ"/>
              </w:rPr>
              <w:t xml:space="preserve"> </w:t>
            </w:r>
            <w:proofErr w:type="spellStart"/>
            <w:r w:rsidRPr="008A0B67">
              <w:rPr>
                <w:rFonts w:ascii="Garamond" w:hAnsi="Garamond"/>
                <w:b/>
                <w:sz w:val="24"/>
                <w:szCs w:val="24"/>
                <w:lang w:eastAsia="cs-CZ"/>
              </w:rPr>
              <w:t>Favero</w:t>
            </w:r>
            <w:proofErr w:type="spellEnd"/>
            <w:r w:rsidRPr="008A0B67">
              <w:rPr>
                <w:rFonts w:ascii="Garamond" w:hAnsi="Garamond"/>
                <w:b/>
                <w:sz w:val="24"/>
                <w:szCs w:val="24"/>
                <w:lang w:eastAsia="cs-CZ"/>
              </w:rPr>
              <w:t xml:space="preserve">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Klára </w:t>
            </w:r>
            <w:proofErr w:type="spellStart"/>
            <w:r w:rsidRPr="008A0B67">
              <w:rPr>
                <w:rFonts w:ascii="Garamond" w:hAnsi="Garamond"/>
                <w:sz w:val="24"/>
                <w:szCs w:val="24"/>
                <w:lang w:eastAsia="cs-CZ"/>
              </w:rPr>
              <w:t>Polčáková</w:t>
            </w:r>
            <w:proofErr w:type="spellEnd"/>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JUDr. Silvie </w:t>
            </w:r>
            <w:proofErr w:type="spellStart"/>
            <w:r w:rsidRPr="008A0B67">
              <w:rPr>
                <w:rFonts w:ascii="Garamond" w:hAnsi="Garamond"/>
                <w:sz w:val="24"/>
                <w:szCs w:val="24"/>
                <w:lang w:eastAsia="cs-CZ"/>
              </w:rPr>
              <w:t>Morongová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Silvie </w:t>
            </w:r>
            <w:proofErr w:type="spellStart"/>
            <w:r w:rsidRPr="008A0B67">
              <w:rPr>
                <w:rFonts w:ascii="Garamond" w:hAnsi="Garamond"/>
                <w:b/>
                <w:sz w:val="24"/>
                <w:szCs w:val="24"/>
                <w:lang w:eastAsia="cs-CZ"/>
              </w:rPr>
              <w:t>Morongová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Michaela </w:t>
            </w:r>
            <w:proofErr w:type="spellStart"/>
            <w:r w:rsidRPr="008A0B67">
              <w:rPr>
                <w:rFonts w:ascii="Garamond" w:hAnsi="Garamond"/>
                <w:b/>
                <w:sz w:val="24"/>
                <w:szCs w:val="24"/>
                <w:lang w:eastAsia="cs-CZ"/>
              </w:rPr>
              <w:t>Turčíková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 xml:space="preserve">Mgr. Jiří </w:t>
            </w:r>
            <w:proofErr w:type="spellStart"/>
            <w:r w:rsidRPr="008A0B67">
              <w:rPr>
                <w:rFonts w:ascii="Garamond" w:hAnsi="Garamond"/>
                <w:b/>
                <w:sz w:val="24"/>
                <w:szCs w:val="24"/>
              </w:rPr>
              <w:t>Ordelt</w:t>
            </w:r>
            <w:proofErr w:type="spellEnd"/>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 xml:space="preserve">Mgr. Jana </w:t>
            </w:r>
            <w:proofErr w:type="spellStart"/>
            <w:r w:rsidRPr="008A0B67">
              <w:rPr>
                <w:rFonts w:ascii="Garamond" w:hAnsi="Garamond"/>
                <w:sz w:val="24"/>
                <w:szCs w:val="24"/>
              </w:rPr>
              <w:t>Domonkošová</w:t>
            </w:r>
            <w:proofErr w:type="spellEnd"/>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proofErr w:type="gramStart"/>
            <w:r w:rsidRPr="008A0B67">
              <w:rPr>
                <w:rFonts w:ascii="Garamond" w:hAnsi="Garamond"/>
                <w:sz w:val="24"/>
                <w:szCs w:val="24"/>
              </w:rPr>
              <w:t>oddíl  „Pozůstalosti</w:t>
            </w:r>
            <w:proofErr w:type="gramEnd"/>
            <w:r w:rsidRPr="008A0B67">
              <w:rPr>
                <w:rFonts w:ascii="Garamond" w:hAnsi="Garamond"/>
                <w:sz w:val="24"/>
                <w:szCs w:val="24"/>
              </w:rPr>
              <w:t>,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 xml:space="preserve">Alena </w:t>
            </w:r>
            <w:proofErr w:type="spellStart"/>
            <w:r w:rsidRPr="008A0B67">
              <w:rPr>
                <w:rFonts w:ascii="Garamond" w:hAnsi="Garamond"/>
              </w:rPr>
              <w:t>Kühtreiberová</w:t>
            </w:r>
            <w:proofErr w:type="spellEnd"/>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w:t>
      </w:r>
      <w:proofErr w:type="gramStart"/>
      <w:r w:rsidRPr="008A0B67">
        <w:rPr>
          <w:rFonts w:ascii="Garamond" w:hAnsi="Garamond"/>
          <w:sz w:val="24"/>
          <w:szCs w:val="24"/>
          <w:lang w:eastAsia="cs-CZ"/>
        </w:rPr>
        <w:t>jakož</w:t>
      </w:r>
      <w:proofErr w:type="gramEnd"/>
      <w:r w:rsidRPr="008A0B67">
        <w:rPr>
          <w:rFonts w:ascii="Garamond" w:hAnsi="Garamond"/>
          <w:sz w:val="24"/>
          <w:szCs w:val="24"/>
          <w:lang w:eastAsia="cs-CZ"/>
        </w:rPr>
        <w:t xml:space="preserve"> i depozitních </w:t>
      </w:r>
      <w:proofErr w:type="gramStart"/>
      <w:r w:rsidRPr="008A0B67">
        <w:rPr>
          <w:rFonts w:ascii="Garamond" w:hAnsi="Garamond"/>
          <w:sz w:val="24"/>
          <w:szCs w:val="24"/>
          <w:lang w:eastAsia="cs-CZ"/>
        </w:rPr>
        <w:t>účtech</w:t>
      </w:r>
      <w:proofErr w:type="gramEnd"/>
      <w:r w:rsidRPr="008A0B67">
        <w:rPr>
          <w:rFonts w:ascii="Garamond" w:hAnsi="Garamond"/>
          <w:sz w:val="24"/>
          <w:szCs w:val="24"/>
          <w:lang w:eastAsia="cs-CZ"/>
        </w:rPr>
        <w:t xml:space="preserve">        (§ 231 v. k. ř.) a kontroly úschov u schovatele (§ 233 v. k. ř.) jsou pověřeny Ing. Lucie </w:t>
      </w:r>
      <w:proofErr w:type="spellStart"/>
      <w:r w:rsidRPr="008A0B67">
        <w:rPr>
          <w:rFonts w:ascii="Garamond" w:hAnsi="Garamond"/>
          <w:sz w:val="24"/>
          <w:szCs w:val="24"/>
          <w:lang w:eastAsia="cs-CZ"/>
        </w:rPr>
        <w:t>Siudová</w:t>
      </w:r>
      <w:proofErr w:type="spellEnd"/>
      <w:r w:rsidRPr="008A0B67">
        <w:rPr>
          <w:rFonts w:ascii="Garamond" w:hAnsi="Garamond"/>
          <w:sz w:val="24"/>
          <w:szCs w:val="24"/>
          <w:lang w:eastAsia="cs-CZ"/>
        </w:rPr>
        <w:t xml:space="preserve"> a Monika </w:t>
      </w:r>
      <w:proofErr w:type="spellStart"/>
      <w:r w:rsidRPr="008A0B67">
        <w:rPr>
          <w:rFonts w:ascii="Garamond" w:hAnsi="Garamond"/>
          <w:sz w:val="24"/>
          <w:szCs w:val="24"/>
          <w:lang w:eastAsia="cs-CZ"/>
        </w:rPr>
        <w:t>Sznapková</w:t>
      </w:r>
      <w:proofErr w:type="spellEnd"/>
      <w:r w:rsidRPr="008A0B67">
        <w:rPr>
          <w:rFonts w:ascii="Garamond" w:hAnsi="Garamond"/>
          <w:sz w:val="24"/>
          <w:szCs w:val="24"/>
          <w:lang w:eastAsia="cs-CZ"/>
        </w:rPr>
        <w:t>.</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 notářů v obvodu okresního soudu (§ 267 v. k. ř.) jsou pověřeny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Hana </w:t>
            </w:r>
            <w:proofErr w:type="spellStart"/>
            <w:r w:rsidRPr="003C7C00">
              <w:rPr>
                <w:rFonts w:ascii="Garamond" w:hAnsi="Garamond"/>
                <w:b/>
                <w:sz w:val="24"/>
                <w:szCs w:val="24"/>
                <w:lang w:eastAsia="cs-CZ"/>
              </w:rPr>
              <w:t>Münsterová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Lenka </w:t>
            </w:r>
            <w:proofErr w:type="spellStart"/>
            <w:r w:rsidRPr="003C7C00">
              <w:rPr>
                <w:rFonts w:ascii="Garamond" w:hAnsi="Garamond"/>
                <w:b/>
                <w:sz w:val="24"/>
                <w:szCs w:val="24"/>
                <w:lang w:eastAsia="cs-CZ"/>
              </w:rPr>
              <w:t>Vrožinová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vzájemný </w:t>
            </w:r>
            <w:proofErr w:type="gramStart"/>
            <w:r w:rsidRPr="003C7C00">
              <w:rPr>
                <w:rFonts w:ascii="Garamond" w:hAnsi="Garamond"/>
                <w:sz w:val="24"/>
                <w:szCs w:val="24"/>
                <w:lang w:eastAsia="cs-CZ"/>
              </w:rPr>
              <w:t>zástup</w:t>
            </w:r>
            <w:proofErr w:type="gramEnd"/>
            <w:r w:rsidRPr="003C7C00">
              <w:rPr>
                <w:rFonts w:ascii="Garamond" w:hAnsi="Garamond"/>
                <w:sz w:val="24"/>
                <w:szCs w:val="24"/>
                <w:lang w:eastAsia="cs-CZ"/>
              </w:rPr>
              <w:t xml:space="preserve"> v</w:t>
            </w:r>
            <w:r>
              <w:rPr>
                <w:rFonts w:ascii="Garamond" w:hAnsi="Garamond"/>
                <w:sz w:val="24"/>
                <w:szCs w:val="24"/>
                <w:lang w:eastAsia="cs-CZ"/>
              </w:rPr>
              <w:t xml:space="preserve">iz soudní </w:t>
            </w:r>
            <w:proofErr w:type="gramStart"/>
            <w:r w:rsidRPr="003C7C00">
              <w:rPr>
                <w:rFonts w:ascii="Garamond" w:hAnsi="Garamond"/>
                <w:sz w:val="24"/>
                <w:szCs w:val="24"/>
                <w:lang w:eastAsia="cs-CZ"/>
              </w:rPr>
              <w:t>oddělení</w:t>
            </w:r>
            <w:proofErr w:type="gramEnd"/>
            <w:r w:rsidRPr="003C7C00">
              <w:rPr>
                <w:rFonts w:ascii="Garamond" w:hAnsi="Garamond"/>
                <w:sz w:val="24"/>
                <w:szCs w:val="24"/>
                <w:lang w:eastAsia="cs-CZ"/>
              </w:rPr>
              <w:t xml:space="preserve">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Lenka </w:t>
            </w:r>
            <w:proofErr w:type="spellStart"/>
            <w:r w:rsidRPr="003C7C00">
              <w:rPr>
                <w:rFonts w:ascii="Garamond" w:hAnsi="Garamond"/>
                <w:b/>
                <w:sz w:val="24"/>
                <w:szCs w:val="24"/>
                <w:lang w:eastAsia="cs-CZ"/>
              </w:rPr>
              <w:t>Vrožinová</w:t>
            </w:r>
            <w:proofErr w:type="spellEnd"/>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Hana </w:t>
            </w:r>
            <w:proofErr w:type="spellStart"/>
            <w:r>
              <w:rPr>
                <w:rFonts w:ascii="Garamond" w:hAnsi="Garamond"/>
                <w:sz w:val="24"/>
                <w:szCs w:val="24"/>
                <w:lang w:eastAsia="cs-CZ"/>
              </w:rPr>
              <w:t>Münsterová</w:t>
            </w:r>
            <w:proofErr w:type="spellEnd"/>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Hana </w:t>
            </w:r>
            <w:proofErr w:type="spellStart"/>
            <w:r>
              <w:rPr>
                <w:rFonts w:ascii="Times New Roman" w:hAnsi="Times New Roman"/>
                <w:sz w:val="24"/>
                <w:szCs w:val="24"/>
                <w:lang w:eastAsia="cs-CZ"/>
              </w:rPr>
              <w:t>Münsterová</w:t>
            </w:r>
            <w:proofErr w:type="spellEnd"/>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Lenka </w:t>
            </w:r>
            <w:proofErr w:type="spellStart"/>
            <w:r>
              <w:rPr>
                <w:rFonts w:ascii="Times New Roman" w:hAnsi="Times New Roman"/>
                <w:sz w:val="24"/>
                <w:szCs w:val="24"/>
                <w:lang w:eastAsia="cs-CZ"/>
              </w:rPr>
              <w:t>Vrožinová</w:t>
            </w:r>
            <w:proofErr w:type="spellEnd"/>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 xml:space="preserve">Mgr. Olga </w:t>
            </w:r>
            <w:proofErr w:type="spellStart"/>
            <w:r w:rsidRPr="003C7C00">
              <w:rPr>
                <w:rFonts w:ascii="Garamond" w:hAnsi="Garamond"/>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Hana </w:t>
            </w:r>
            <w:proofErr w:type="spellStart"/>
            <w:r>
              <w:rPr>
                <w:rFonts w:ascii="Garamond" w:hAnsi="Garamond"/>
                <w:sz w:val="24"/>
                <w:szCs w:val="24"/>
                <w:lang w:eastAsia="cs-CZ"/>
              </w:rPr>
              <w:t>Münsterová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Lenka </w:t>
            </w:r>
            <w:proofErr w:type="spellStart"/>
            <w:r>
              <w:rPr>
                <w:rFonts w:ascii="Garamond" w:hAnsi="Garamond"/>
                <w:sz w:val="24"/>
                <w:szCs w:val="24"/>
                <w:lang w:eastAsia="cs-CZ"/>
              </w:rPr>
              <w:t>Vrožinová</w:t>
            </w:r>
            <w:proofErr w:type="spellEnd"/>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r>
      <w:tr w:rsidR="00380401" w:rsidRPr="00D33A37" w:rsidTr="003C7C00">
        <w:trPr>
          <w:trHeight w:val="397"/>
        </w:trPr>
        <w:tc>
          <w:tcPr>
            <w:tcW w:w="1134" w:type="dxa"/>
            <w:vMerge/>
            <w:shd w:val="clear" w:color="auto" w:fill="D9D9D9"/>
          </w:tcPr>
          <w:p w:rsidR="00380401" w:rsidRPr="003C7C00" w:rsidRDefault="00380401" w:rsidP="003C7C00">
            <w:pPr>
              <w:spacing w:after="0" w:line="240" w:lineRule="auto"/>
              <w:rPr>
                <w:rFonts w:ascii="Garamond" w:hAnsi="Garamond"/>
                <w:sz w:val="24"/>
                <w:szCs w:val="24"/>
                <w:lang w:eastAsia="cs-CZ"/>
              </w:rPr>
            </w:pPr>
          </w:p>
        </w:tc>
        <w:tc>
          <w:tcPr>
            <w:tcW w:w="3402" w:type="dxa"/>
            <w:gridSpan w:val="3"/>
          </w:tcPr>
          <w:p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380401" w:rsidRPr="003C7C00" w:rsidRDefault="00380401" w:rsidP="003C7C00">
            <w:pPr>
              <w:spacing w:after="0" w:line="240" w:lineRule="auto"/>
              <w:jc w:val="both"/>
              <w:rPr>
                <w:rFonts w:ascii="Garamond" w:hAnsi="Garamond"/>
                <w:sz w:val="24"/>
                <w:szCs w:val="24"/>
                <w:lang w:eastAsia="cs-CZ"/>
              </w:rPr>
            </w:pPr>
          </w:p>
        </w:tc>
        <w:tc>
          <w:tcPr>
            <w:tcW w:w="3402" w:type="dxa"/>
          </w:tcPr>
          <w:p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Martina </w:t>
            </w:r>
            <w:proofErr w:type="spellStart"/>
            <w:r>
              <w:rPr>
                <w:rFonts w:ascii="Garamond" w:hAnsi="Garamond"/>
                <w:sz w:val="24"/>
                <w:szCs w:val="24"/>
                <w:lang w:eastAsia="cs-CZ"/>
              </w:rPr>
              <w:t>Godulová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Hana </w:t>
            </w:r>
            <w:proofErr w:type="spellStart"/>
            <w:r w:rsidRPr="003C7C00">
              <w:rPr>
                <w:rFonts w:ascii="Garamond" w:hAnsi="Garamond"/>
                <w:sz w:val="24"/>
                <w:szCs w:val="24"/>
                <w:lang w:eastAsia="cs-CZ"/>
              </w:rPr>
              <w:t>Münsterová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Lenka </w:t>
            </w:r>
            <w:proofErr w:type="spellStart"/>
            <w:r>
              <w:rPr>
                <w:rFonts w:ascii="Garamond" w:hAnsi="Garamond"/>
                <w:sz w:val="24"/>
                <w:szCs w:val="24"/>
                <w:lang w:eastAsia="cs-CZ"/>
              </w:rPr>
              <w:t>Vrožinová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Hana </w:t>
            </w:r>
            <w:proofErr w:type="spellStart"/>
            <w:r w:rsidRPr="003C7C00">
              <w:rPr>
                <w:rFonts w:ascii="Garamond" w:hAnsi="Garamond"/>
                <w:b/>
                <w:sz w:val="24"/>
                <w:szCs w:val="24"/>
                <w:lang w:eastAsia="cs-CZ"/>
              </w:rPr>
              <w:t>Münsterová</w:t>
            </w:r>
            <w:proofErr w:type="spellEnd"/>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Lenka </w:t>
            </w:r>
            <w:proofErr w:type="spellStart"/>
            <w:r w:rsidRPr="003C7C00">
              <w:rPr>
                <w:rFonts w:ascii="Garamond" w:hAnsi="Garamond"/>
                <w:sz w:val="24"/>
                <w:szCs w:val="24"/>
                <w:lang w:eastAsia="cs-CZ"/>
              </w:rPr>
              <w:t>Vrožinová</w:t>
            </w:r>
            <w:proofErr w:type="spellEnd"/>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r w:rsidRPr="003C7C00">
              <w:rPr>
                <w:rFonts w:ascii="Garamond" w:hAnsi="Garamond"/>
                <w:sz w:val="24"/>
                <w:szCs w:val="24"/>
                <w:lang w:eastAsia="cs-CZ"/>
              </w:rPr>
              <w:t xml:space="preserve">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Radecká</w:t>
            </w:r>
            <w:proofErr w:type="spellEnd"/>
            <w:r w:rsidRPr="003C7C00">
              <w:rPr>
                <w:rFonts w:ascii="Garamond" w:hAnsi="Garamond"/>
                <w:sz w:val="24"/>
                <w:szCs w:val="24"/>
                <w:lang w:eastAsia="cs-CZ"/>
              </w:rPr>
              <w:t xml:space="preserve">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Martina </w:t>
            </w:r>
            <w:proofErr w:type="spellStart"/>
            <w:r w:rsidRPr="003C7C00">
              <w:rPr>
                <w:rFonts w:ascii="Garamond" w:hAnsi="Garamond"/>
                <w:sz w:val="24"/>
                <w:szCs w:val="24"/>
                <w:lang w:eastAsia="cs-CZ"/>
              </w:rPr>
              <w:t>Godulová</w:t>
            </w:r>
            <w:proofErr w:type="spellEnd"/>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JUDr. Eva </w:t>
            </w:r>
            <w:proofErr w:type="spellStart"/>
            <w:r w:rsidRPr="003C7C00">
              <w:rPr>
                <w:rFonts w:ascii="Garamond" w:hAnsi="Garamond"/>
                <w:b/>
                <w:sz w:val="24"/>
                <w:szCs w:val="24"/>
                <w:lang w:eastAsia="cs-CZ"/>
              </w:rPr>
              <w:t>Glombicová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Lumír </w:t>
            </w:r>
            <w:proofErr w:type="spellStart"/>
            <w:r w:rsidRPr="003C7C00">
              <w:rPr>
                <w:rFonts w:ascii="Garamond" w:hAnsi="Garamond"/>
                <w:b/>
                <w:sz w:val="24"/>
                <w:szCs w:val="24"/>
                <w:lang w:eastAsia="cs-CZ"/>
              </w:rPr>
              <w:t>Kutaj</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Martina </w:t>
            </w:r>
            <w:proofErr w:type="spellStart"/>
            <w:r w:rsidRPr="003C7C00">
              <w:rPr>
                <w:rFonts w:ascii="Garamond" w:hAnsi="Garamond"/>
                <w:b/>
                <w:sz w:val="24"/>
                <w:szCs w:val="24"/>
                <w:lang w:eastAsia="cs-CZ"/>
              </w:rPr>
              <w:t>Szvitková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w:t>
            </w:r>
            <w:proofErr w:type="spellStart"/>
            <w:r w:rsidRPr="003C7C00">
              <w:rPr>
                <w:rFonts w:ascii="Garamond" w:hAnsi="Garamond"/>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w:t>
            </w:r>
            <w:proofErr w:type="spellStart"/>
            <w:r>
              <w:rPr>
                <w:rFonts w:ascii="Garamond" w:hAnsi="Garamond"/>
                <w:sz w:val="24"/>
                <w:szCs w:val="24"/>
                <w:lang w:eastAsia="cs-CZ"/>
              </w:rPr>
              <w:t>Szvitková</w:t>
            </w:r>
            <w:proofErr w:type="spellEnd"/>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Lumír </w:t>
            </w:r>
            <w:proofErr w:type="spellStart"/>
            <w:r w:rsidRPr="00D33A37">
              <w:rPr>
                <w:rFonts w:ascii="Garamond" w:hAnsi="Garamond"/>
                <w:color w:val="000000"/>
                <w:sz w:val="24"/>
                <w:szCs w:val="24"/>
                <w:lang w:eastAsia="cs-CZ"/>
              </w:rPr>
              <w:t>Kutaj</w:t>
            </w:r>
            <w:proofErr w:type="spellEnd"/>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Martina </w:t>
            </w:r>
            <w:proofErr w:type="spellStart"/>
            <w:r>
              <w:rPr>
                <w:rFonts w:ascii="Garamond" w:hAnsi="Garamond"/>
                <w:color w:val="000000"/>
                <w:sz w:val="24"/>
                <w:szCs w:val="24"/>
                <w:lang w:eastAsia="cs-CZ"/>
              </w:rPr>
              <w:t>Szvitková</w:t>
            </w:r>
            <w:proofErr w:type="spellEnd"/>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 xml:space="preserve">2. Mgr. Martina </w:t>
            </w:r>
            <w:proofErr w:type="spellStart"/>
            <w:r w:rsidRPr="003C7C00">
              <w:rPr>
                <w:rFonts w:ascii="Garamond" w:hAnsi="Garamond"/>
                <w:sz w:val="24"/>
                <w:szCs w:val="24"/>
                <w:lang w:eastAsia="cs-CZ"/>
              </w:rPr>
              <w:t>Szvitková</w:t>
            </w:r>
            <w:proofErr w:type="spellEnd"/>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w:t>
            </w:r>
            <w:proofErr w:type="spellStart"/>
            <w:r w:rsidRPr="003C7C00">
              <w:rPr>
                <w:rFonts w:ascii="Garamond" w:hAnsi="Garamond"/>
                <w:b/>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w:t>
            </w:r>
            <w:proofErr w:type="spellStart"/>
            <w:r>
              <w:rPr>
                <w:rFonts w:ascii="Garamond" w:hAnsi="Garamond"/>
                <w:sz w:val="24"/>
                <w:szCs w:val="24"/>
                <w:lang w:eastAsia="cs-CZ"/>
              </w:rPr>
              <w:t>Szvitková</w:t>
            </w:r>
            <w:proofErr w:type="spellEnd"/>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Libuše </w:t>
            </w:r>
            <w:proofErr w:type="spellStart"/>
            <w:r w:rsidRPr="003C7C00">
              <w:rPr>
                <w:rFonts w:ascii="Garamond" w:hAnsi="Garamond"/>
                <w:lang w:eastAsia="cs-CZ"/>
              </w:rPr>
              <w:t>Kuzníková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w:t>
            </w:r>
            <w:proofErr w:type="spellStart"/>
            <w:r w:rsidRPr="00D33A37">
              <w:rPr>
                <w:rFonts w:ascii="Garamond" w:hAnsi="Garamond"/>
                <w:color w:val="000000"/>
                <w:sz w:val="24"/>
                <w:szCs w:val="24"/>
                <w:lang w:eastAsia="cs-CZ"/>
              </w:rPr>
              <w:t>Szvitková</w:t>
            </w:r>
            <w:proofErr w:type="spellEnd"/>
            <w:r w:rsidRPr="00D33A37">
              <w:rPr>
                <w:rFonts w:ascii="Garamond" w:hAnsi="Garamond"/>
                <w:color w:val="000000"/>
                <w:sz w:val="24"/>
                <w:szCs w:val="24"/>
                <w:lang w:eastAsia="cs-CZ"/>
              </w:rPr>
              <w:t xml:space="preserve">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Lumír </w:t>
            </w:r>
            <w:proofErr w:type="spellStart"/>
            <w:r>
              <w:rPr>
                <w:rFonts w:ascii="Garamond" w:hAnsi="Garamond"/>
                <w:color w:val="000000"/>
                <w:sz w:val="24"/>
                <w:szCs w:val="24"/>
                <w:lang w:eastAsia="cs-CZ"/>
              </w:rPr>
              <w:t>Kutaj</w:t>
            </w:r>
            <w:proofErr w:type="spellEnd"/>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w:t>
            </w:r>
            <w:proofErr w:type="gramStart"/>
            <w:r w:rsidRPr="00D33A37">
              <w:rPr>
                <w:rFonts w:ascii="Garamond" w:hAnsi="Garamond"/>
                <w:color w:val="000000"/>
                <w:sz w:val="24"/>
                <w:szCs w:val="24"/>
                <w:lang w:eastAsia="cs-CZ"/>
              </w:rPr>
              <w:t>jsou</w:t>
            </w:r>
            <w:proofErr w:type="gramEnd"/>
            <w:r w:rsidRPr="00D33A37">
              <w:rPr>
                <w:rFonts w:ascii="Garamond" w:hAnsi="Garamond"/>
                <w:color w:val="000000"/>
                <w:sz w:val="24"/>
                <w:szCs w:val="24"/>
                <w:lang w:eastAsia="cs-CZ"/>
              </w:rPr>
              <w:t xml:space="preserve"> přiděleny soudcům </w:t>
            </w:r>
            <w:proofErr w:type="gramStart"/>
            <w:r w:rsidRPr="00D33A37">
              <w:rPr>
                <w:rFonts w:ascii="Garamond" w:hAnsi="Garamond"/>
                <w:color w:val="000000"/>
                <w:sz w:val="24"/>
                <w:szCs w:val="24"/>
                <w:lang w:eastAsia="cs-CZ"/>
              </w:rPr>
              <w:t>viz</w:t>
            </w:r>
            <w:proofErr w:type="gramEnd"/>
            <w:r w:rsidRPr="00D33A37">
              <w:rPr>
                <w:rFonts w:ascii="Garamond" w:hAnsi="Garamond"/>
                <w:color w:val="000000"/>
                <w:sz w:val="24"/>
                <w:szCs w:val="24"/>
                <w:lang w:eastAsia="cs-CZ"/>
              </w:rPr>
              <w:t xml:space="preserve">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Ing. Michaela </w:t>
            </w:r>
            <w:proofErr w:type="spellStart"/>
            <w:r w:rsidRPr="00D33A37">
              <w:rPr>
                <w:rFonts w:ascii="Times New Roman" w:hAnsi="Times New Roman"/>
                <w:color w:val="000000"/>
                <w:sz w:val="24"/>
                <w:szCs w:val="24"/>
                <w:lang w:eastAsia="cs-CZ"/>
              </w:rPr>
              <w:t>Latochová</w:t>
            </w:r>
            <w:proofErr w:type="spellEnd"/>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Libuše </w:t>
            </w:r>
            <w:proofErr w:type="spellStart"/>
            <w:r w:rsidRPr="00D33A37">
              <w:rPr>
                <w:rFonts w:ascii="Times New Roman" w:hAnsi="Times New Roman"/>
                <w:color w:val="000000"/>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Libuše </w:t>
            </w:r>
            <w:proofErr w:type="spellStart"/>
            <w:r w:rsidRPr="00D33A37">
              <w:rPr>
                <w:rFonts w:ascii="Times New Roman" w:hAnsi="Times New Roman"/>
                <w:color w:val="000000"/>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Renáta </w:t>
            </w:r>
            <w:proofErr w:type="spellStart"/>
            <w:r w:rsidRPr="00D33A37">
              <w:rPr>
                <w:rFonts w:ascii="Times New Roman" w:hAnsi="Times New Roman"/>
                <w:color w:val="000000"/>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w:t>
            </w:r>
            <w:proofErr w:type="spellStart"/>
            <w:r w:rsidRPr="003C7C00">
              <w:rPr>
                <w:rFonts w:ascii="Garamond" w:hAnsi="Garamond"/>
                <w:b/>
                <w:sz w:val="24"/>
                <w:szCs w:val="24"/>
                <w:lang w:eastAsia="cs-CZ"/>
              </w:rPr>
              <w:t>Szvitková</w:t>
            </w:r>
            <w:proofErr w:type="spellEnd"/>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w:t>
            </w:r>
            <w:proofErr w:type="spellStart"/>
            <w:r w:rsidRPr="003C7C00">
              <w:rPr>
                <w:rFonts w:ascii="Garamond" w:hAnsi="Garamond"/>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w:t>
            </w:r>
            <w:proofErr w:type="spellStart"/>
            <w:r>
              <w:rPr>
                <w:rFonts w:ascii="Garamond" w:hAnsi="Garamond"/>
                <w:sz w:val="24"/>
                <w:szCs w:val="24"/>
                <w:lang w:eastAsia="cs-CZ"/>
              </w:rPr>
              <w:t>Szvitková</w:t>
            </w:r>
            <w:proofErr w:type="spellEnd"/>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Libuše </w:t>
            </w:r>
            <w:proofErr w:type="spellStart"/>
            <w:r w:rsidRPr="00745CE3">
              <w:rPr>
                <w:rFonts w:ascii="Garamond" w:hAnsi="Garamond"/>
                <w:sz w:val="24"/>
                <w:szCs w:val="24"/>
                <w:lang w:eastAsia="cs-CZ"/>
              </w:rPr>
              <w:t>Kuzníková</w:t>
            </w:r>
            <w:proofErr w:type="spellEnd"/>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Libuše </w:t>
            </w:r>
            <w:proofErr w:type="spellStart"/>
            <w:r w:rsidRPr="00745CE3">
              <w:rPr>
                <w:rFonts w:ascii="Garamond" w:hAnsi="Garamond"/>
                <w:sz w:val="24"/>
                <w:szCs w:val="24"/>
                <w:lang w:eastAsia="cs-CZ"/>
              </w:rPr>
              <w:t>Kuzníková</w:t>
            </w:r>
            <w:proofErr w:type="spellEnd"/>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w:t>
            </w:r>
            <w:proofErr w:type="gramStart"/>
            <w:r w:rsidRPr="003C7C00">
              <w:rPr>
                <w:rFonts w:ascii="Garamond" w:hAnsi="Garamond"/>
                <w:sz w:val="24"/>
                <w:szCs w:val="24"/>
                <w:lang w:eastAsia="cs-CZ"/>
              </w:rPr>
              <w:t>jsou</w:t>
            </w:r>
            <w:proofErr w:type="gramEnd"/>
            <w:r w:rsidRPr="003C7C00">
              <w:rPr>
                <w:rFonts w:ascii="Garamond" w:hAnsi="Garamond"/>
                <w:sz w:val="24"/>
                <w:szCs w:val="24"/>
                <w:lang w:eastAsia="cs-CZ"/>
              </w:rPr>
              <w:t xml:space="preserve"> přiděleny soudcům </w:t>
            </w:r>
            <w:proofErr w:type="gramStart"/>
            <w:r w:rsidRPr="003C7C00">
              <w:rPr>
                <w:rFonts w:ascii="Garamond" w:hAnsi="Garamond"/>
                <w:sz w:val="24"/>
                <w:szCs w:val="24"/>
                <w:lang w:eastAsia="cs-CZ"/>
              </w:rPr>
              <w:t>viz</w:t>
            </w:r>
            <w:proofErr w:type="gramEnd"/>
            <w:r w:rsidRPr="003C7C00">
              <w:rPr>
                <w:rFonts w:ascii="Garamond" w:hAnsi="Garamond"/>
                <w:sz w:val="24"/>
                <w:szCs w:val="24"/>
                <w:lang w:eastAsia="cs-CZ"/>
              </w:rPr>
              <w:t xml:space="preserve">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Libuše </w:t>
            </w:r>
            <w:proofErr w:type="spellStart"/>
            <w:r w:rsidRPr="003C7C00">
              <w:rPr>
                <w:rFonts w:ascii="Garamond" w:hAnsi="Garamond"/>
                <w:sz w:val="24"/>
                <w:szCs w:val="24"/>
                <w:lang w:eastAsia="cs-CZ"/>
              </w:rPr>
              <w:t>Kuzníková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w:t>
      </w:r>
      <w:proofErr w:type="gramStart"/>
      <w:r w:rsidRPr="004717FE">
        <w:rPr>
          <w:rFonts w:ascii="Garamond" w:hAnsi="Garamond"/>
        </w:rPr>
        <w:t>závazných</w:t>
      </w:r>
      <w:proofErr w:type="gramEnd"/>
      <w:r w:rsidRPr="004717FE">
        <w:rPr>
          <w:rFonts w:ascii="Garamond" w:hAnsi="Garamond"/>
        </w:rPr>
        <w:t xml:space="preserve">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 xml:space="preserve">Kontrolu knihy převzatých a zajištěných movitých věcí provádí Monika </w:t>
      </w:r>
      <w:proofErr w:type="spellStart"/>
      <w:r w:rsidRPr="001E4E59">
        <w:rPr>
          <w:rFonts w:ascii="Garamond" w:hAnsi="Garamond"/>
        </w:rPr>
        <w:t>Sznapková</w:t>
      </w:r>
      <w:proofErr w:type="spellEnd"/>
      <w:r w:rsidRPr="001E4E59">
        <w:rPr>
          <w:rFonts w:ascii="Garamond" w:hAnsi="Garamond"/>
        </w:rPr>
        <w:t>.</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proofErr w:type="gramStart"/>
      <w:r w:rsidRPr="001E4E59">
        <w:rPr>
          <w:rFonts w:ascii="Garamond" w:hAnsi="Garamond"/>
        </w:rPr>
        <w:t>úseku  výkonu</w:t>
      </w:r>
      <w:proofErr w:type="gramEnd"/>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 xml:space="preserve">Za řádný chod soudní kanceláře odpovídá a práci dalším zaměstnancům přiděluje dozorčí úřednice Monika </w:t>
      </w:r>
      <w:proofErr w:type="spellStart"/>
      <w:r w:rsidR="00375B98">
        <w:rPr>
          <w:rFonts w:ascii="Garamond" w:hAnsi="Garamond"/>
        </w:rPr>
        <w:t>Sznapková</w:t>
      </w:r>
      <w:proofErr w:type="spellEnd"/>
      <w:r w:rsidR="00375B98">
        <w:rPr>
          <w:rFonts w:ascii="Garamond" w:hAnsi="Garamond"/>
        </w:rPr>
        <w:t xml:space="preserve"> na pracovišti v Karviné a Radka </w:t>
      </w:r>
      <w:proofErr w:type="spellStart"/>
      <w:r w:rsidR="00375B98">
        <w:rPr>
          <w:rFonts w:ascii="Garamond" w:hAnsi="Garamond"/>
        </w:rPr>
        <w:t>Juranková</w:t>
      </w:r>
      <w:proofErr w:type="spellEnd"/>
      <w:r w:rsidR="00375B98">
        <w:rPr>
          <w:rFonts w:ascii="Garamond" w:hAnsi="Garamond"/>
        </w:rPr>
        <w:t xml:space="preserve">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Jana </w:t>
            </w:r>
            <w:proofErr w:type="spellStart"/>
            <w:r w:rsidRPr="003C7C00">
              <w:rPr>
                <w:rFonts w:ascii="Garamond" w:hAnsi="Garamond"/>
                <w:sz w:val="24"/>
                <w:szCs w:val="24"/>
              </w:rPr>
              <w:t>Domonkošová</w:t>
            </w:r>
            <w:proofErr w:type="spellEnd"/>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w:t>
            </w:r>
            <w:proofErr w:type="spellStart"/>
            <w:r w:rsidRPr="003C7C00">
              <w:rPr>
                <w:rFonts w:ascii="Garamond" w:hAnsi="Garamond"/>
              </w:rPr>
              <w:t>Šotová</w:t>
            </w:r>
            <w:proofErr w:type="spellEnd"/>
            <w:r w:rsidRPr="003C7C00">
              <w:rPr>
                <w:rFonts w:ascii="Garamond" w:hAnsi="Garamond"/>
              </w:rPr>
              <w:t xml:space="preserve">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Lenka </w:t>
            </w:r>
            <w:proofErr w:type="spellStart"/>
            <w:r w:rsidRPr="003C7C00">
              <w:rPr>
                <w:rFonts w:ascii="Garamond" w:hAnsi="Garamond"/>
              </w:rPr>
              <w:t>Czudková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Martina </w:t>
            </w:r>
            <w:proofErr w:type="spellStart"/>
            <w:r w:rsidRPr="003C7C00">
              <w:rPr>
                <w:rFonts w:ascii="Garamond" w:hAnsi="Garamond"/>
              </w:rPr>
              <w:t>Jastrzembská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Jana </w:t>
            </w:r>
            <w:proofErr w:type="spellStart"/>
            <w:r w:rsidRPr="003C7C00">
              <w:rPr>
                <w:rFonts w:ascii="Garamond" w:hAnsi="Garamond"/>
                <w:sz w:val="24"/>
                <w:szCs w:val="24"/>
              </w:rPr>
              <w:t>Domonkošová</w:t>
            </w:r>
            <w:proofErr w:type="spellEnd"/>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Jana </w:t>
            </w:r>
            <w:proofErr w:type="spellStart"/>
            <w:r w:rsidRPr="003C7C00">
              <w:rPr>
                <w:rFonts w:ascii="Garamond" w:hAnsi="Garamond"/>
                <w:b/>
                <w:sz w:val="24"/>
                <w:szCs w:val="24"/>
              </w:rPr>
              <w:t>Domonkošová</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Jana </w:t>
            </w:r>
            <w:proofErr w:type="spellStart"/>
            <w:r w:rsidRPr="003C7C00">
              <w:rPr>
                <w:rFonts w:ascii="Garamond" w:hAnsi="Garamond"/>
                <w:b/>
                <w:sz w:val="24"/>
                <w:szCs w:val="24"/>
              </w:rPr>
              <w:t>Domonkošová</w:t>
            </w:r>
            <w:proofErr w:type="spellEnd"/>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 xml:space="preserve">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w:t>
            </w:r>
            <w:proofErr w:type="spellStart"/>
            <w:r w:rsidRPr="003C7C00">
              <w:rPr>
                <w:rFonts w:ascii="Garamond" w:hAnsi="Garamond"/>
                <w:sz w:val="24"/>
                <w:szCs w:val="24"/>
              </w:rPr>
              <w:t>Domonkošová</w:t>
            </w:r>
            <w:proofErr w:type="spellEnd"/>
            <w:r w:rsidRPr="003C7C00">
              <w:rPr>
                <w:rFonts w:ascii="Garamond" w:hAnsi="Garamond"/>
                <w:sz w:val="24"/>
                <w:szCs w:val="24"/>
              </w:rPr>
              <w:t xml:space="preserve">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w:t>
            </w:r>
            <w:proofErr w:type="spellStart"/>
            <w:r w:rsidRPr="003C7C00">
              <w:rPr>
                <w:rFonts w:ascii="Garamond" w:hAnsi="Garamond"/>
                <w:sz w:val="24"/>
                <w:szCs w:val="24"/>
              </w:rPr>
              <w:t>Domonkošová</w:t>
            </w:r>
            <w:proofErr w:type="spellEnd"/>
            <w:r w:rsidRPr="003C7C00">
              <w:rPr>
                <w:rFonts w:ascii="Garamond" w:hAnsi="Garamond"/>
                <w:sz w:val="24"/>
                <w:szCs w:val="24"/>
              </w:rPr>
              <w:t xml:space="preserve">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Yvona </w:t>
            </w:r>
            <w:proofErr w:type="spellStart"/>
            <w:r w:rsidRPr="003C7C00">
              <w:rPr>
                <w:rFonts w:ascii="Garamond" w:hAnsi="Garamond"/>
                <w:sz w:val="24"/>
                <w:szCs w:val="24"/>
              </w:rPr>
              <w:t>Del</w:t>
            </w:r>
            <w:proofErr w:type="spellEnd"/>
            <w:r w:rsidRPr="003C7C00">
              <w:rPr>
                <w:rFonts w:ascii="Garamond" w:hAnsi="Garamond"/>
                <w:sz w:val="24"/>
                <w:szCs w:val="24"/>
              </w:rPr>
              <w:t xml:space="preserve"> </w:t>
            </w:r>
            <w:proofErr w:type="spellStart"/>
            <w:r w:rsidRPr="003C7C00">
              <w:rPr>
                <w:rFonts w:ascii="Garamond" w:hAnsi="Garamond"/>
                <w:sz w:val="24"/>
                <w:szCs w:val="24"/>
              </w:rPr>
              <w:t>Favero</w:t>
            </w:r>
            <w:proofErr w:type="spellEnd"/>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Yvona </w:t>
            </w:r>
            <w:proofErr w:type="spellStart"/>
            <w:r w:rsidRPr="003C7C00">
              <w:rPr>
                <w:rFonts w:ascii="Garamond" w:hAnsi="Garamond"/>
                <w:b/>
                <w:sz w:val="24"/>
                <w:szCs w:val="24"/>
              </w:rPr>
              <w:t>Del</w:t>
            </w:r>
            <w:proofErr w:type="spellEnd"/>
            <w:r w:rsidRPr="003C7C00">
              <w:rPr>
                <w:rFonts w:ascii="Garamond" w:hAnsi="Garamond"/>
                <w:b/>
                <w:sz w:val="24"/>
                <w:szCs w:val="24"/>
              </w:rPr>
              <w:t xml:space="preserve"> </w:t>
            </w:r>
            <w:proofErr w:type="spellStart"/>
            <w:r w:rsidRPr="003C7C00">
              <w:rPr>
                <w:rFonts w:ascii="Garamond" w:hAnsi="Garamond"/>
                <w:b/>
                <w:sz w:val="24"/>
                <w:szCs w:val="24"/>
              </w:rPr>
              <w:t>Favero</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Yvona </w:t>
            </w:r>
            <w:proofErr w:type="spellStart"/>
            <w:r w:rsidRPr="003C7C00">
              <w:rPr>
                <w:rFonts w:ascii="Garamond" w:hAnsi="Garamond"/>
                <w:sz w:val="24"/>
                <w:szCs w:val="24"/>
              </w:rPr>
              <w:t>Del</w:t>
            </w:r>
            <w:proofErr w:type="spellEnd"/>
            <w:r w:rsidRPr="003C7C00">
              <w:rPr>
                <w:rFonts w:ascii="Garamond" w:hAnsi="Garamond"/>
                <w:sz w:val="24"/>
                <w:szCs w:val="24"/>
              </w:rPr>
              <w:t xml:space="preserve"> </w:t>
            </w:r>
            <w:proofErr w:type="spellStart"/>
            <w:r w:rsidRPr="003C7C00">
              <w:rPr>
                <w:rFonts w:ascii="Garamond" w:hAnsi="Garamond"/>
                <w:sz w:val="24"/>
                <w:szCs w:val="24"/>
              </w:rPr>
              <w:t>Favero</w:t>
            </w:r>
            <w:proofErr w:type="spellEnd"/>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Yvona </w:t>
            </w:r>
            <w:proofErr w:type="spellStart"/>
            <w:r w:rsidRPr="003C7C00">
              <w:rPr>
                <w:rFonts w:ascii="Garamond" w:hAnsi="Garamond"/>
                <w:b/>
                <w:sz w:val="24"/>
                <w:szCs w:val="24"/>
              </w:rPr>
              <w:t>Del</w:t>
            </w:r>
            <w:proofErr w:type="spellEnd"/>
            <w:r w:rsidRPr="003C7C00">
              <w:rPr>
                <w:rFonts w:ascii="Garamond" w:hAnsi="Garamond"/>
                <w:b/>
                <w:sz w:val="24"/>
                <w:szCs w:val="24"/>
              </w:rPr>
              <w:t xml:space="preserve"> </w:t>
            </w:r>
            <w:proofErr w:type="spellStart"/>
            <w:r w:rsidRPr="003C7C00">
              <w:rPr>
                <w:rFonts w:ascii="Garamond" w:hAnsi="Garamond"/>
                <w:b/>
                <w:sz w:val="24"/>
                <w:szCs w:val="24"/>
              </w:rPr>
              <w:t>Favero</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w:t>
            </w:r>
            <w:proofErr w:type="spellStart"/>
            <w:r w:rsidRPr="003C7C00">
              <w:rPr>
                <w:rFonts w:ascii="Garamond" w:hAnsi="Garamond"/>
                <w:sz w:val="24"/>
                <w:szCs w:val="24"/>
              </w:rPr>
              <w:t>Del</w:t>
            </w:r>
            <w:proofErr w:type="spellEnd"/>
            <w:r w:rsidRPr="003C7C00">
              <w:rPr>
                <w:rFonts w:ascii="Garamond" w:hAnsi="Garamond"/>
                <w:sz w:val="24"/>
                <w:szCs w:val="24"/>
              </w:rPr>
              <w:t xml:space="preserve"> </w:t>
            </w:r>
            <w:proofErr w:type="spellStart"/>
            <w:r w:rsidRPr="003C7C00">
              <w:rPr>
                <w:rFonts w:ascii="Garamond" w:hAnsi="Garamond"/>
                <w:sz w:val="24"/>
                <w:szCs w:val="24"/>
              </w:rPr>
              <w:t>Favero</w:t>
            </w:r>
            <w:proofErr w:type="spellEnd"/>
            <w:r w:rsidRPr="003C7C00">
              <w:rPr>
                <w:rFonts w:ascii="Garamond" w:hAnsi="Garamond"/>
                <w:sz w:val="24"/>
                <w:szCs w:val="24"/>
              </w:rPr>
              <w:t xml:space="preserve">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Lenka </w:t>
      </w:r>
      <w:proofErr w:type="spellStart"/>
      <w:r>
        <w:rPr>
          <w:rFonts w:ascii="Garamond" w:hAnsi="Garamond"/>
          <w:sz w:val="24"/>
          <w:szCs w:val="24"/>
          <w:lang w:eastAsia="cs-CZ"/>
        </w:rPr>
        <w:t>Šotková</w:t>
      </w:r>
      <w:proofErr w:type="spellEnd"/>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 xml:space="preserve">Lenka </w:t>
      </w:r>
      <w:proofErr w:type="spellStart"/>
      <w:r w:rsidRPr="00D90E1F">
        <w:rPr>
          <w:rFonts w:ascii="Garamond" w:hAnsi="Garamond"/>
          <w:b/>
          <w:sz w:val="24"/>
          <w:szCs w:val="24"/>
          <w:lang w:eastAsia="cs-CZ"/>
        </w:rPr>
        <w:t>Šotková</w:t>
      </w:r>
      <w:proofErr w:type="spellEnd"/>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w:t>
      </w:r>
      <w:r w:rsidR="0028589B">
        <w:rPr>
          <w:rFonts w:ascii="Garamond" w:hAnsi="Garamond"/>
          <w:sz w:val="24"/>
          <w:szCs w:val="24"/>
        </w:rPr>
        <w:t xml:space="preserve">Barbora Krejčová, </w:t>
      </w:r>
      <w:r w:rsidRPr="003C7C00">
        <w:rPr>
          <w:rFonts w:ascii="Garamond" w:hAnsi="Garamond"/>
          <w:sz w:val="24"/>
          <w:szCs w:val="24"/>
        </w:rPr>
        <w:t xml:space="preserve">Lucie Létalová, Bc. Iveta </w:t>
      </w:r>
      <w:proofErr w:type="gramStart"/>
      <w:r w:rsidRPr="003C7C00">
        <w:rPr>
          <w:rFonts w:ascii="Garamond" w:hAnsi="Garamond"/>
          <w:sz w:val="24"/>
          <w:szCs w:val="24"/>
        </w:rPr>
        <w:t>Langrová , Pavlína</w:t>
      </w:r>
      <w:proofErr w:type="gramEnd"/>
      <w:r w:rsidRPr="003C7C00">
        <w:rPr>
          <w:rFonts w:ascii="Garamond" w:hAnsi="Garamond"/>
          <w:sz w:val="24"/>
          <w:szCs w:val="24"/>
        </w:rPr>
        <w:t xml:space="preserve"> Macháčková, Eva </w:t>
      </w:r>
      <w:proofErr w:type="spellStart"/>
      <w:r w:rsidRPr="003C7C00">
        <w:rPr>
          <w:rFonts w:ascii="Garamond" w:hAnsi="Garamond"/>
          <w:sz w:val="24"/>
          <w:szCs w:val="24"/>
        </w:rPr>
        <w:t>Tichavská</w:t>
      </w:r>
      <w:proofErr w:type="spellEnd"/>
      <w:r w:rsidRPr="003C7C00">
        <w:rPr>
          <w:rFonts w:ascii="Garamond" w:hAnsi="Garamond"/>
          <w:sz w:val="24"/>
          <w:szCs w:val="24"/>
        </w:rPr>
        <w:t xml:space="preserve">,  Ing. Lucie </w:t>
      </w:r>
      <w:proofErr w:type="spellStart"/>
      <w:r w:rsidRPr="003C7C00">
        <w:rPr>
          <w:rFonts w:ascii="Garamond" w:hAnsi="Garamond"/>
          <w:sz w:val="24"/>
          <w:szCs w:val="24"/>
        </w:rPr>
        <w:t>Melicháreková</w:t>
      </w:r>
      <w:proofErr w:type="spellEnd"/>
      <w:r w:rsidRPr="003C7C00">
        <w:rPr>
          <w:rFonts w:ascii="Garamond" w:hAnsi="Garamond"/>
          <w:sz w:val="24"/>
          <w:szCs w:val="24"/>
        </w:rPr>
        <w:t xml:space="preserve">, Monika Michalková, Bc. Petra </w:t>
      </w:r>
      <w:proofErr w:type="spellStart"/>
      <w:r w:rsidRPr="003C7C00">
        <w:rPr>
          <w:rFonts w:ascii="Garamond" w:hAnsi="Garamond"/>
          <w:sz w:val="24"/>
          <w:szCs w:val="24"/>
        </w:rPr>
        <w:t>Malinowská</w:t>
      </w:r>
      <w:proofErr w:type="spellEnd"/>
      <w:r w:rsidRPr="003C7C00">
        <w:rPr>
          <w:rFonts w:ascii="Garamond" w:hAnsi="Garamond"/>
          <w:sz w:val="24"/>
          <w:szCs w:val="24"/>
        </w:rPr>
        <w:t xml:space="preserve">, Ludmila </w:t>
      </w:r>
      <w:proofErr w:type="spellStart"/>
      <w:r w:rsidRPr="003C7C00">
        <w:rPr>
          <w:rFonts w:ascii="Garamond" w:hAnsi="Garamond"/>
          <w:sz w:val="24"/>
          <w:szCs w:val="24"/>
        </w:rPr>
        <w:t>Rudolová</w:t>
      </w:r>
      <w:proofErr w:type="spellEnd"/>
      <w:r w:rsidRPr="003C7C00">
        <w:rPr>
          <w:rFonts w:ascii="Garamond" w:hAnsi="Garamond"/>
          <w:sz w:val="24"/>
          <w:szCs w:val="24"/>
        </w:rPr>
        <w:t xml:space="preserve">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w:t>
      </w:r>
      <w:proofErr w:type="spellStart"/>
      <w:r w:rsidRPr="003C7C00">
        <w:rPr>
          <w:rFonts w:ascii="Garamond" w:hAnsi="Garamond"/>
          <w:sz w:val="24"/>
          <w:szCs w:val="24"/>
        </w:rPr>
        <w:t>Šuniarová</w:t>
      </w:r>
      <w:proofErr w:type="spellEnd"/>
      <w:r w:rsidRPr="003C7C00">
        <w:rPr>
          <w:rFonts w:ascii="Garamond" w:hAnsi="Garamond"/>
          <w:sz w:val="24"/>
          <w:szCs w:val="24"/>
        </w:rPr>
        <w:t xml:space="preserve">,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w:t>
      </w:r>
      <w:proofErr w:type="spellStart"/>
      <w:r w:rsidRPr="00441471">
        <w:rPr>
          <w:rFonts w:ascii="Garamond" w:hAnsi="Garamond"/>
          <w:b/>
          <w:sz w:val="24"/>
          <w:szCs w:val="24"/>
          <w:lang w:eastAsia="cs-CZ"/>
        </w:rPr>
        <w:t>Siudová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 xml:space="preserve">Ing. Petr </w:t>
      </w:r>
      <w:proofErr w:type="spellStart"/>
      <w:r w:rsidRPr="00A143C8">
        <w:rPr>
          <w:rFonts w:ascii="Garamond" w:hAnsi="Garamond"/>
          <w:b/>
          <w:sz w:val="24"/>
          <w:szCs w:val="24"/>
        </w:rPr>
        <w:t>Kovalovský</w:t>
      </w:r>
      <w:proofErr w:type="spellEnd"/>
    </w:p>
    <w:p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w:t>
      </w:r>
      <w:proofErr w:type="spellStart"/>
      <w:r>
        <w:rPr>
          <w:rFonts w:ascii="Garamond" w:eastAsiaTheme="minorHAnsi" w:hAnsi="Garamond" w:cstheme="minorBidi"/>
          <w:sz w:val="24"/>
          <w:szCs w:val="24"/>
        </w:rPr>
        <w:t>Hnyluch</w:t>
      </w:r>
      <w:proofErr w:type="spellEnd"/>
      <w:r>
        <w:rPr>
          <w:rFonts w:ascii="Garamond" w:eastAsiaTheme="minorHAnsi" w:hAnsi="Garamond" w:cstheme="minorBidi"/>
          <w:sz w:val="24"/>
          <w:szCs w:val="24"/>
        </w:rPr>
        <w:t xml:space="preserve"> </w:t>
      </w:r>
    </w:p>
    <w:p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rsidR="002104A1" w:rsidRDefault="002104A1" w:rsidP="002104A1">
      <w:pPr>
        <w:spacing w:after="0" w:line="240" w:lineRule="auto"/>
        <w:contextualSpacing/>
        <w:jc w:val="both"/>
        <w:rPr>
          <w:rFonts w:ascii="Garamond" w:hAnsi="Garamond"/>
          <w:sz w:val="24"/>
          <w:szCs w:val="24"/>
          <w:lang w:eastAsia="cs-CZ"/>
        </w:rPr>
      </w:pP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 xml:space="preserve">Ing. Bc. Martin </w:t>
      </w:r>
      <w:proofErr w:type="spellStart"/>
      <w:r>
        <w:rPr>
          <w:rFonts w:ascii="Garamond" w:eastAsiaTheme="minorHAnsi" w:hAnsi="Garamond" w:cstheme="minorBidi"/>
          <w:b/>
          <w:sz w:val="24"/>
          <w:szCs w:val="24"/>
        </w:rPr>
        <w:t>Hnyluch</w:t>
      </w:r>
      <w:proofErr w:type="spellEnd"/>
      <w:r>
        <w:rPr>
          <w:rFonts w:ascii="Garamond" w:eastAsiaTheme="minorHAnsi" w:hAnsi="Garamond" w:cstheme="minorBidi"/>
          <w:sz w:val="24"/>
          <w:szCs w:val="24"/>
        </w:rPr>
        <w:t xml:space="preserve"> </w:t>
      </w: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w:t>
      </w:r>
      <w:proofErr w:type="spellStart"/>
      <w:r>
        <w:rPr>
          <w:rFonts w:ascii="Garamond" w:eastAsiaTheme="minorHAnsi" w:hAnsi="Garamond" w:cstheme="minorBidi"/>
          <w:sz w:val="24"/>
          <w:szCs w:val="24"/>
        </w:rPr>
        <w:t>Kovalovský</w:t>
      </w:r>
      <w:proofErr w:type="spellEnd"/>
      <w:r>
        <w:rPr>
          <w:rFonts w:ascii="Garamond" w:eastAsiaTheme="minorHAnsi" w:hAnsi="Garamond" w:cstheme="minorBidi"/>
          <w:sz w:val="24"/>
          <w:szCs w:val="24"/>
        </w:rPr>
        <w:t xml:space="preserve"> </w:t>
      </w:r>
    </w:p>
    <w:p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rsidR="002104A1" w:rsidRPr="00B36792" w:rsidRDefault="002104A1" w:rsidP="002104A1">
      <w:pPr>
        <w:spacing w:after="0" w:line="240" w:lineRule="auto"/>
        <w:contextualSpacing/>
        <w:jc w:val="both"/>
        <w:rPr>
          <w:rFonts w:ascii="Garamond" w:hAnsi="Garamond"/>
          <w:sz w:val="24"/>
          <w:szCs w:val="24"/>
          <w:lang w:eastAsia="cs-CZ"/>
        </w:rPr>
      </w:pPr>
    </w:p>
    <w:p w:rsidR="00490935" w:rsidRDefault="00490935" w:rsidP="00490935">
      <w:pPr>
        <w:spacing w:after="0" w:line="240" w:lineRule="auto"/>
        <w:contextualSpacing/>
        <w:jc w:val="both"/>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 xml:space="preserve">Zástupce: Ing. Lucie </w:t>
      </w:r>
      <w:proofErr w:type="spellStart"/>
      <w:r w:rsidRPr="00441471">
        <w:rPr>
          <w:rFonts w:ascii="Garamond" w:hAnsi="Garamond"/>
          <w:sz w:val="24"/>
          <w:szCs w:val="24"/>
          <w:lang w:eastAsia="cs-CZ"/>
        </w:rPr>
        <w:t>Siudová</w:t>
      </w:r>
      <w:proofErr w:type="spellEnd"/>
    </w:p>
    <w:p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w:t>
      </w:r>
      <w:proofErr w:type="spellStart"/>
      <w:r w:rsidRPr="00441471">
        <w:rPr>
          <w:rFonts w:ascii="Garamond" w:hAnsi="Garamond"/>
          <w:b/>
          <w:sz w:val="24"/>
          <w:szCs w:val="24"/>
          <w:lang w:eastAsia="cs-CZ"/>
        </w:rPr>
        <w:t>Sznapková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Radka </w:t>
      </w:r>
      <w:proofErr w:type="spellStart"/>
      <w:r w:rsidRPr="00441471">
        <w:rPr>
          <w:rFonts w:ascii="Garamond" w:hAnsi="Garamond"/>
          <w:sz w:val="24"/>
          <w:szCs w:val="24"/>
          <w:lang w:eastAsia="cs-CZ"/>
        </w:rPr>
        <w:t>Juranková</w:t>
      </w:r>
      <w:proofErr w:type="spellEnd"/>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 xml:space="preserve">Bc. Tomáš </w:t>
      </w:r>
      <w:proofErr w:type="spellStart"/>
      <w:r w:rsidRPr="00441471">
        <w:rPr>
          <w:rFonts w:ascii="Garamond" w:hAnsi="Garamond"/>
          <w:b/>
          <w:sz w:val="24"/>
          <w:szCs w:val="24"/>
          <w:lang w:eastAsia="cs-CZ"/>
        </w:rPr>
        <w:t>Kypast</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Default="00595152"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Pr="00441471" w:rsidRDefault="003F74ED"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9A26E0" w:rsidRPr="00441471" w:rsidRDefault="009A26E0" w:rsidP="00127B19">
      <w:pPr>
        <w:numPr>
          <w:ilvl w:val="0"/>
          <w:numId w:val="12"/>
        </w:num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w:t>
      </w:r>
      <w:proofErr w:type="spellStart"/>
      <w:r w:rsidRPr="00441471">
        <w:rPr>
          <w:rFonts w:ascii="Garamond" w:hAnsi="Garamond"/>
          <w:sz w:val="24"/>
          <w:szCs w:val="24"/>
          <w:lang w:eastAsia="cs-CZ"/>
        </w:rPr>
        <w:t>Matalíková</w:t>
      </w:r>
      <w:proofErr w:type="spellEnd"/>
      <w:r w:rsidRPr="00441471">
        <w:rPr>
          <w:rFonts w:ascii="Garamond" w:hAnsi="Garamond"/>
          <w:sz w:val="24"/>
          <w:szCs w:val="24"/>
          <w:lang w:eastAsia="cs-CZ"/>
        </w:rPr>
        <w:t xml:space="preserve">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w:t>
      </w:r>
      <w:proofErr w:type="spellStart"/>
      <w:r w:rsidRPr="00441471">
        <w:rPr>
          <w:rFonts w:ascii="Garamond" w:hAnsi="Garamond"/>
          <w:b/>
          <w:sz w:val="24"/>
          <w:szCs w:val="24"/>
          <w:lang w:eastAsia="cs-CZ"/>
        </w:rPr>
        <w:t>Matalíková</w:t>
      </w:r>
      <w:proofErr w:type="spellEnd"/>
      <w:r w:rsidRPr="00441471">
        <w:rPr>
          <w:rFonts w:ascii="Garamond" w:hAnsi="Garamond"/>
          <w:b/>
          <w:sz w:val="24"/>
          <w:szCs w:val="24"/>
          <w:lang w:eastAsia="cs-CZ"/>
        </w:rPr>
        <w:t xml:space="preserve"> </w:t>
      </w:r>
    </w:p>
    <w:p w:rsidR="00490935" w:rsidRPr="00441471" w:rsidRDefault="00490935" w:rsidP="003C7C00">
      <w:pPr>
        <w:spacing w:after="0" w:line="240" w:lineRule="auto"/>
        <w:jc w:val="both"/>
        <w:rPr>
          <w:rFonts w:ascii="Garamond" w:hAnsi="Garamond"/>
          <w:b/>
          <w:color w:val="FF0000"/>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 xml:space="preserve">Vlasta </w:t>
      </w:r>
      <w:proofErr w:type="spellStart"/>
      <w:r w:rsidRPr="00441471">
        <w:rPr>
          <w:rFonts w:ascii="Garamond" w:hAnsi="Garamond"/>
          <w:b/>
          <w:sz w:val="24"/>
          <w:szCs w:val="24"/>
          <w:lang w:eastAsia="cs-CZ"/>
        </w:rPr>
        <w:t>Semmlerová</w:t>
      </w:r>
      <w:proofErr w:type="spellEnd"/>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 xml:space="preserve">Šárka </w:t>
      </w:r>
      <w:proofErr w:type="spellStart"/>
      <w:r w:rsidRPr="00441471">
        <w:rPr>
          <w:rFonts w:ascii="Garamond" w:hAnsi="Garamond"/>
          <w:b/>
          <w:sz w:val="24"/>
          <w:szCs w:val="24"/>
          <w:lang w:eastAsia="cs-CZ"/>
        </w:rPr>
        <w:t>Mikstajová</w:t>
      </w:r>
      <w:proofErr w:type="spellEnd"/>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 xml:space="preserve">Andrea </w:t>
      </w:r>
      <w:proofErr w:type="spellStart"/>
      <w:r w:rsidRPr="00441471">
        <w:rPr>
          <w:rFonts w:ascii="Garamond" w:hAnsi="Garamond"/>
          <w:b/>
          <w:sz w:val="24"/>
          <w:szCs w:val="24"/>
          <w:lang w:eastAsia="cs-CZ"/>
        </w:rPr>
        <w:t>Foltynová</w:t>
      </w:r>
      <w:proofErr w:type="spellEnd"/>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w:t>
      </w:r>
      <w:proofErr w:type="spellStart"/>
      <w:r w:rsidRPr="00441471">
        <w:rPr>
          <w:rFonts w:ascii="Garamond" w:hAnsi="Garamond"/>
          <w:b/>
          <w:sz w:val="24"/>
          <w:szCs w:val="24"/>
          <w:lang w:eastAsia="cs-CZ"/>
        </w:rPr>
        <w:t>Semmlerová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proofErr w:type="spellStart"/>
      <w:r w:rsidRPr="00441471">
        <w:rPr>
          <w:rFonts w:ascii="Garamond" w:hAnsi="Garamond"/>
          <w:b/>
          <w:sz w:val="24"/>
          <w:szCs w:val="24"/>
          <w:lang w:eastAsia="cs-CZ"/>
        </w:rPr>
        <w:t>Csilla</w:t>
      </w:r>
      <w:proofErr w:type="spellEnd"/>
      <w:r w:rsidRPr="00441471">
        <w:rPr>
          <w:rFonts w:ascii="Garamond" w:hAnsi="Garamond"/>
          <w:b/>
          <w:sz w:val="24"/>
          <w:szCs w:val="24"/>
          <w:lang w:eastAsia="cs-CZ"/>
        </w:rPr>
        <w:t xml:space="preserve"> </w:t>
      </w:r>
      <w:proofErr w:type="spellStart"/>
      <w:r w:rsidRPr="00441471">
        <w:rPr>
          <w:rFonts w:ascii="Garamond" w:hAnsi="Garamond"/>
          <w:b/>
          <w:sz w:val="24"/>
          <w:szCs w:val="24"/>
          <w:lang w:eastAsia="cs-CZ"/>
        </w:rPr>
        <w:t>Wawreczková</w:t>
      </w:r>
      <w:proofErr w:type="spellEnd"/>
    </w:p>
    <w:p w:rsidR="00490935" w:rsidRPr="00441471" w:rsidRDefault="00490935" w:rsidP="003C7C00">
      <w:pPr>
        <w:spacing w:after="0" w:line="240" w:lineRule="auto"/>
        <w:ind w:firstLine="12"/>
        <w:jc w:val="both"/>
        <w:rPr>
          <w:rFonts w:ascii="Garamond" w:hAnsi="Garamond"/>
          <w:b/>
          <w:sz w:val="24"/>
          <w:szCs w:val="24"/>
          <w:lang w:eastAsia="cs-CZ"/>
        </w:rPr>
      </w:pP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Lýdie </w:t>
      </w:r>
      <w:proofErr w:type="spellStart"/>
      <w:r w:rsidRPr="00441471">
        <w:rPr>
          <w:rFonts w:ascii="Garamond" w:hAnsi="Garamond"/>
          <w:sz w:val="24"/>
          <w:szCs w:val="24"/>
          <w:lang w:eastAsia="cs-CZ"/>
        </w:rPr>
        <w:t>Valková</w:t>
      </w:r>
      <w:proofErr w:type="spellEnd"/>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 xml:space="preserve">Lýdie </w:t>
      </w:r>
      <w:proofErr w:type="spellStart"/>
      <w:r w:rsidRPr="00441471">
        <w:rPr>
          <w:rFonts w:ascii="Garamond" w:hAnsi="Garamond"/>
          <w:b/>
          <w:sz w:val="24"/>
          <w:szCs w:val="24"/>
          <w:lang w:eastAsia="cs-CZ"/>
        </w:rPr>
        <w:t>Valková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proofErr w:type="spellStart"/>
      <w:r w:rsidRPr="00441471">
        <w:rPr>
          <w:rFonts w:ascii="Garamond" w:hAnsi="Garamond"/>
          <w:sz w:val="24"/>
          <w:szCs w:val="24"/>
          <w:lang w:eastAsia="cs-CZ"/>
        </w:rPr>
        <w:t>Csilla</w:t>
      </w:r>
      <w:proofErr w:type="spellEnd"/>
      <w:r w:rsidRPr="00441471">
        <w:rPr>
          <w:rFonts w:ascii="Garamond" w:hAnsi="Garamond"/>
          <w:sz w:val="24"/>
          <w:szCs w:val="24"/>
          <w:lang w:eastAsia="cs-CZ"/>
        </w:rPr>
        <w:t xml:space="preserve"> </w:t>
      </w:r>
      <w:proofErr w:type="spellStart"/>
      <w:r w:rsidRPr="00441471">
        <w:rPr>
          <w:rFonts w:ascii="Garamond" w:hAnsi="Garamond"/>
          <w:sz w:val="24"/>
          <w:szCs w:val="24"/>
          <w:lang w:eastAsia="cs-CZ"/>
        </w:rPr>
        <w:t>Wawreczková</w:t>
      </w:r>
      <w:proofErr w:type="spellEnd"/>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Ing. Renáta </w:t>
      </w:r>
      <w:proofErr w:type="spellStart"/>
      <w:r w:rsidRPr="00441471">
        <w:rPr>
          <w:rFonts w:ascii="Garamond" w:hAnsi="Garamond"/>
          <w:sz w:val="24"/>
          <w:szCs w:val="24"/>
          <w:lang w:eastAsia="cs-CZ"/>
        </w:rPr>
        <w:t>Bekusová</w:t>
      </w:r>
      <w:proofErr w:type="spellEnd"/>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3F74ED" w:rsidRDefault="003F74ED"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 xml:space="preserve">Ing. Renáta </w:t>
      </w:r>
      <w:proofErr w:type="spellStart"/>
      <w:r w:rsidRPr="00441471">
        <w:rPr>
          <w:rFonts w:ascii="Garamond" w:hAnsi="Garamond"/>
          <w:b/>
          <w:sz w:val="24"/>
          <w:szCs w:val="24"/>
          <w:lang w:eastAsia="cs-CZ"/>
        </w:rPr>
        <w:t>Bekusová</w:t>
      </w:r>
      <w:proofErr w:type="spellEnd"/>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Naděžda </w:t>
      </w:r>
      <w:proofErr w:type="spellStart"/>
      <w:r w:rsidRPr="00441471">
        <w:rPr>
          <w:rFonts w:ascii="Garamond" w:hAnsi="Garamond"/>
          <w:b/>
          <w:sz w:val="24"/>
          <w:szCs w:val="24"/>
          <w:lang w:eastAsia="cs-CZ"/>
        </w:rPr>
        <w:t>Staruchová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Tejedi</w:t>
      </w:r>
      <w:proofErr w:type="spellEnd"/>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3F74ED" w:rsidRDefault="003F74ED" w:rsidP="003C7C00">
      <w:pPr>
        <w:spacing w:after="0" w:line="240" w:lineRule="auto"/>
        <w:ind w:left="360"/>
        <w:rPr>
          <w:rFonts w:ascii="Garamond" w:hAnsi="Garamond"/>
          <w:b/>
          <w:sz w:val="24"/>
          <w:szCs w:val="24"/>
          <w:lang w:eastAsia="cs-CZ"/>
        </w:rPr>
      </w:pPr>
    </w:p>
    <w:p w:rsidR="00490935" w:rsidRDefault="00490935"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3F74ED" w:rsidRDefault="003F74ED" w:rsidP="00490935">
      <w:pPr>
        <w:spacing w:after="0"/>
        <w:rPr>
          <w:rFonts w:ascii="Garamond" w:hAnsi="Garamond"/>
          <w:sz w:val="24"/>
          <w:szCs w:val="24"/>
          <w:lang w:eastAsia="cs-CZ"/>
        </w:rPr>
      </w:pPr>
    </w:p>
    <w:p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E02447" w:rsidRDefault="00E02447" w:rsidP="00E6590E">
      <w:pPr>
        <w:ind w:firstLine="12"/>
        <w:jc w:val="both"/>
        <w:rPr>
          <w:rFonts w:ascii="Garamond" w:hAnsi="Garamond"/>
          <w:b/>
          <w:sz w:val="26"/>
          <w:szCs w:val="26"/>
          <w:lang w:eastAsia="cs-CZ"/>
        </w:rPr>
      </w:pP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 xml:space="preserve">Libuše </w:t>
      </w:r>
      <w:proofErr w:type="spellStart"/>
      <w:r w:rsidRPr="00441471">
        <w:rPr>
          <w:rFonts w:ascii="Garamond" w:hAnsi="Garamond"/>
          <w:b/>
          <w:sz w:val="24"/>
          <w:szCs w:val="24"/>
          <w:lang w:eastAsia="cs-CZ"/>
        </w:rPr>
        <w:t>Kuzníková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Vlasta </w:t>
      </w:r>
      <w:proofErr w:type="spellStart"/>
      <w:r w:rsidRPr="00441471">
        <w:rPr>
          <w:rFonts w:ascii="Garamond" w:hAnsi="Garamond"/>
          <w:sz w:val="24"/>
          <w:szCs w:val="24"/>
          <w:lang w:eastAsia="cs-CZ"/>
        </w:rPr>
        <w:t>Svrčková</w:t>
      </w:r>
      <w:proofErr w:type="spellEnd"/>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Bc. Tomáš </w:t>
      </w:r>
      <w:proofErr w:type="spellStart"/>
      <w:r w:rsidRPr="00441471">
        <w:rPr>
          <w:rFonts w:ascii="Garamond" w:hAnsi="Garamond"/>
          <w:sz w:val="24"/>
          <w:szCs w:val="24"/>
          <w:lang w:eastAsia="cs-CZ"/>
        </w:rPr>
        <w:t>Kypast</w:t>
      </w:r>
      <w:proofErr w:type="spellEnd"/>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t>
      </w:r>
      <w:proofErr w:type="gramStart"/>
      <w:r w:rsidRPr="00441471">
        <w:rPr>
          <w:rFonts w:ascii="Garamond" w:hAnsi="Garamond"/>
          <w:sz w:val="24"/>
          <w:szCs w:val="24"/>
          <w:lang w:eastAsia="cs-CZ"/>
        </w:rPr>
        <w:t>www</w:t>
      </w:r>
      <w:proofErr w:type="gramEnd"/>
      <w:r w:rsidRPr="00441471">
        <w:rPr>
          <w:rFonts w:ascii="Garamond" w:hAnsi="Garamond"/>
          <w:sz w:val="24"/>
          <w:szCs w:val="24"/>
          <w:lang w:eastAsia="cs-CZ"/>
        </w:rPr>
        <w:t>.</w:t>
      </w:r>
      <w:proofErr w:type="gramStart"/>
      <w:r w:rsidRPr="00441471">
        <w:rPr>
          <w:rFonts w:ascii="Garamond" w:hAnsi="Garamond"/>
          <w:sz w:val="24"/>
          <w:szCs w:val="24"/>
          <w:lang w:eastAsia="cs-CZ"/>
        </w:rPr>
        <w:t>justice</w:t>
      </w:r>
      <w:proofErr w:type="gramEnd"/>
      <w:r w:rsidRPr="00441471">
        <w:rPr>
          <w:rFonts w:ascii="Garamond" w:hAnsi="Garamond"/>
          <w:sz w:val="24"/>
          <w:szCs w:val="24"/>
          <w:lang w:eastAsia="cs-CZ"/>
        </w:rPr>
        <w:t xml:space="preserv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xml:space="preserve">.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Radka </w:t>
      </w:r>
      <w:proofErr w:type="spellStart"/>
      <w:r w:rsidRPr="00441471">
        <w:rPr>
          <w:rFonts w:ascii="Garamond" w:hAnsi="Garamond"/>
          <w:b/>
          <w:sz w:val="24"/>
          <w:szCs w:val="24"/>
          <w:lang w:eastAsia="cs-CZ"/>
        </w:rPr>
        <w:t>Juranková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Monika </w:t>
      </w:r>
      <w:proofErr w:type="spellStart"/>
      <w:r w:rsidRPr="00441471">
        <w:rPr>
          <w:rFonts w:ascii="Garamond" w:hAnsi="Garamond"/>
          <w:sz w:val="24"/>
          <w:szCs w:val="24"/>
          <w:lang w:eastAsia="cs-CZ"/>
        </w:rPr>
        <w:t>Sznapková</w:t>
      </w:r>
      <w:proofErr w:type="spellEnd"/>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Karin </w:t>
      </w:r>
      <w:proofErr w:type="spellStart"/>
      <w:r w:rsidRPr="00441471">
        <w:rPr>
          <w:rFonts w:ascii="Garamond" w:hAnsi="Garamond"/>
          <w:b/>
          <w:sz w:val="24"/>
          <w:szCs w:val="24"/>
          <w:lang w:eastAsia="cs-CZ"/>
        </w:rPr>
        <w:t>Siudová</w:t>
      </w:r>
      <w:proofErr w:type="spellEnd"/>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proofErr w:type="spellStart"/>
      <w:r w:rsidRPr="00441471">
        <w:rPr>
          <w:rFonts w:ascii="Garamond" w:hAnsi="Garamond"/>
          <w:b/>
          <w:sz w:val="24"/>
          <w:szCs w:val="24"/>
          <w:lang w:eastAsia="cs-CZ"/>
        </w:rPr>
        <w:t>Danuta</w:t>
      </w:r>
      <w:proofErr w:type="spellEnd"/>
      <w:r w:rsidRPr="00441471">
        <w:rPr>
          <w:rFonts w:ascii="Garamond" w:hAnsi="Garamond"/>
          <w:b/>
          <w:sz w:val="24"/>
          <w:szCs w:val="24"/>
          <w:lang w:eastAsia="cs-CZ"/>
        </w:rPr>
        <w:t xml:space="preserve">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w:t>
      </w:r>
      <w:proofErr w:type="spellStart"/>
      <w:r w:rsidRPr="00441471">
        <w:rPr>
          <w:rFonts w:ascii="Garamond" w:hAnsi="Garamond"/>
          <w:sz w:val="24"/>
          <w:szCs w:val="24"/>
          <w:lang w:eastAsia="cs-CZ"/>
        </w:rPr>
        <w:t>Chowaniec</w:t>
      </w:r>
      <w:proofErr w:type="spellEnd"/>
      <w:r w:rsidRPr="00441471">
        <w:rPr>
          <w:rFonts w:ascii="Garamond" w:hAnsi="Garamond"/>
          <w:sz w:val="24"/>
          <w:szCs w:val="24"/>
          <w:lang w:eastAsia="cs-CZ"/>
        </w:rPr>
        <w:t xml:space="preserve">,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w:t>
      </w:r>
      <w:proofErr w:type="spellStart"/>
      <w:r w:rsidRPr="00441471">
        <w:rPr>
          <w:rFonts w:ascii="Garamond" w:hAnsi="Garamond"/>
          <w:b/>
          <w:sz w:val="24"/>
          <w:szCs w:val="24"/>
          <w:lang w:eastAsia="cs-CZ"/>
        </w:rPr>
        <w:t>Chowaniec</w:t>
      </w:r>
      <w:proofErr w:type="spellEnd"/>
      <w:r w:rsidRPr="00441471">
        <w:rPr>
          <w:rFonts w:ascii="Garamond" w:hAnsi="Garamond"/>
          <w:b/>
          <w:sz w:val="24"/>
          <w:szCs w:val="24"/>
          <w:lang w:eastAsia="cs-CZ"/>
        </w:rPr>
        <w:t xml:space="preserve">,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E6700D">
        <w:rPr>
          <w:rFonts w:ascii="Garamond" w:hAnsi="Garamond"/>
          <w:sz w:val="24"/>
          <w:szCs w:val="24"/>
          <w:lang w:eastAsia="cs-CZ"/>
        </w:rPr>
        <w:t>31</w:t>
      </w:r>
      <w:r>
        <w:rPr>
          <w:rFonts w:ascii="Garamond" w:hAnsi="Garamond"/>
          <w:sz w:val="24"/>
          <w:szCs w:val="24"/>
          <w:lang w:eastAsia="cs-CZ"/>
        </w:rPr>
        <w:t xml:space="preserve">. </w:t>
      </w:r>
      <w:r w:rsidR="00E6700D">
        <w:rPr>
          <w:rFonts w:ascii="Garamond" w:hAnsi="Garamond"/>
          <w:sz w:val="24"/>
          <w:szCs w:val="24"/>
          <w:lang w:eastAsia="cs-CZ"/>
        </w:rPr>
        <w:t>5</w:t>
      </w:r>
      <w:r>
        <w:rPr>
          <w:rFonts w:ascii="Garamond" w:hAnsi="Garamond"/>
          <w:sz w:val="24"/>
          <w:szCs w:val="24"/>
          <w:lang w:eastAsia="cs-CZ"/>
        </w:rPr>
        <w:t>. 202</w:t>
      </w:r>
      <w:r w:rsidR="00E02447">
        <w:rPr>
          <w:rFonts w:ascii="Garamond" w:hAnsi="Garamond"/>
          <w:sz w:val="24"/>
          <w:szCs w:val="24"/>
          <w:lang w:eastAsia="cs-CZ"/>
        </w:rPr>
        <w:t>3</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Pr="003C7C00" w:rsidRDefault="004C42AF" w:rsidP="003C7C00">
      <w:pPr>
        <w:spacing w:after="0" w:line="240" w:lineRule="auto"/>
        <w:jc w:val="right"/>
        <w:rPr>
          <w:rFonts w:ascii="Times New Roman" w:hAnsi="Times New Roman"/>
          <w:b/>
          <w:sz w:val="24"/>
          <w:szCs w:val="24"/>
          <w:lang w:eastAsia="cs-CZ"/>
        </w:rPr>
      </w:pPr>
      <w:r>
        <w:rPr>
          <w:rFonts w:ascii="Times New Roman" w:hAnsi="Times New Roman"/>
          <w:b/>
          <w:sz w:val="24"/>
          <w:szCs w:val="24"/>
          <w:lang w:eastAsia="cs-CZ"/>
        </w:rPr>
        <w:lastRenderedPageBreak/>
        <w:t>P</w:t>
      </w:r>
      <w:r w:rsidR="00595152" w:rsidRPr="003C7C00">
        <w:rPr>
          <w:rFonts w:ascii="Times New Roman" w:hAnsi="Times New Roman"/>
          <w:b/>
          <w:sz w:val="24"/>
          <w:szCs w:val="24"/>
          <w:lang w:eastAsia="cs-CZ"/>
        </w:rPr>
        <w:t>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w:t>
            </w:r>
            <w:proofErr w:type="gramStart"/>
            <w:r w:rsidRPr="003C7C00">
              <w:rPr>
                <w:sz w:val="24"/>
                <w:szCs w:val="24"/>
                <w:lang w:eastAsia="cs-CZ"/>
              </w:rPr>
              <w:t>ř.</w:t>
            </w:r>
            <w:proofErr w:type="gramEnd"/>
            <w:r w:rsidRPr="003C7C00">
              <w:rPr>
                <w:sz w:val="24"/>
                <w:szCs w:val="24"/>
                <w:lang w:eastAsia="cs-CZ"/>
              </w:rPr>
              <w:t>)</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ÚST.PODÁNÍ</w:t>
            </w:r>
            <w:proofErr w:type="gramEnd"/>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VŠEOB.REH</w:t>
            </w:r>
            <w:proofErr w:type="gramEnd"/>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xml:space="preserve">. </w:t>
            </w:r>
            <w:proofErr w:type="gramStart"/>
            <w:r w:rsidRPr="003C7C00">
              <w:rPr>
                <w:sz w:val="24"/>
                <w:szCs w:val="24"/>
                <w:lang w:eastAsia="cs-CZ"/>
              </w:rPr>
              <w:t>ř.</w:t>
            </w:r>
            <w:proofErr w:type="gramEnd"/>
            <w:r w:rsidRPr="003C7C00">
              <w:rPr>
                <w:sz w:val="24"/>
                <w:szCs w:val="24"/>
                <w:lang w:eastAsia="cs-CZ"/>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OSVOB. OD SOP, </w:t>
            </w:r>
            <w:proofErr w:type="gramStart"/>
            <w:r w:rsidRPr="003C7C00">
              <w:rPr>
                <w:sz w:val="24"/>
                <w:szCs w:val="24"/>
                <w:lang w:eastAsia="cs-CZ"/>
              </w:rPr>
              <w:t>UST.ZÁSTUPCE</w:t>
            </w:r>
            <w:proofErr w:type="gramEnd"/>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lastRenderedPageBreak/>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PĚST.PÉČE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ZA</w:t>
            </w:r>
            <w:proofErr w:type="gramEnd"/>
            <w:r w:rsidRPr="003C7C00">
              <w:rPr>
                <w:i/>
                <w:iCs/>
                <w:sz w:val="24"/>
                <w:szCs w:val="24"/>
                <w:lang w:eastAsia="cs-CZ"/>
              </w:rPr>
              <w:t xml:space="preserve">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SVĚŘ.FOND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zdravotnické dokumentace </w:t>
            </w:r>
            <w:r w:rsidRPr="003C7C00">
              <w:rPr>
                <w:sz w:val="24"/>
                <w:szCs w:val="24"/>
                <w:lang w:eastAsia="cs-CZ"/>
              </w:rPr>
              <w:lastRenderedPageBreak/>
              <w:t>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UTAJ.POROD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RODIČ.PÉČE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proofErr w:type="gramStart"/>
            <w:r w:rsidRPr="00D33A37">
              <w:t>PROHL.MAJ</w:t>
            </w:r>
            <w:proofErr w:type="gramEnd"/>
            <w:r w:rsidRPr="00D33A37">
              <w:t>.</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proofErr w:type="gramStart"/>
            <w:r w:rsidRPr="00D33A37">
              <w:rPr>
                <w:sz w:val="24"/>
                <w:szCs w:val="24"/>
              </w:rPr>
              <w:t>PROHL.MAJ</w:t>
            </w:r>
            <w:proofErr w:type="gramEnd"/>
            <w:r w:rsidRPr="00D33A37">
              <w:rPr>
                <w:sz w:val="24"/>
                <w:szCs w:val="24"/>
              </w:rPr>
              <w:t>.</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w:t>
            </w:r>
            <w:proofErr w:type="gramStart"/>
            <w:r w:rsidRPr="00D33A37">
              <w:rPr>
                <w:sz w:val="24"/>
                <w:szCs w:val="24"/>
              </w:rPr>
              <w:t xml:space="preserve">43a </w:t>
            </w:r>
            <w:proofErr w:type="spellStart"/>
            <w:r w:rsidRPr="00D33A37">
              <w:rPr>
                <w:sz w:val="24"/>
                <w:szCs w:val="24"/>
              </w:rPr>
              <w:t>e.ř</w:t>
            </w:r>
            <w:proofErr w:type="spellEnd"/>
            <w:r w:rsidRPr="00D33A37">
              <w:rPr>
                <w:sz w:val="24"/>
                <w:szCs w:val="24"/>
              </w:rPr>
              <w:t>.</w:t>
            </w:r>
            <w:proofErr w:type="gramEnd"/>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05" w:rsidRDefault="00FF6505" w:rsidP="00C33844">
      <w:pPr>
        <w:spacing w:after="0" w:line="240" w:lineRule="auto"/>
      </w:pPr>
      <w:r>
        <w:separator/>
      </w:r>
    </w:p>
  </w:endnote>
  <w:endnote w:type="continuationSeparator" w:id="0">
    <w:p w:rsidR="00FF6505" w:rsidRDefault="00FF6505"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F2" w:rsidRDefault="00C873F2">
    <w:pPr>
      <w:pStyle w:val="Zpat"/>
      <w:jc w:val="center"/>
    </w:pPr>
    <w:r>
      <w:fldChar w:fldCharType="begin"/>
    </w:r>
    <w:r>
      <w:instrText>PAGE   \* MERGEFORMAT</w:instrText>
    </w:r>
    <w:r>
      <w:fldChar w:fldCharType="separate"/>
    </w:r>
    <w:r w:rsidR="00E6700D">
      <w:rPr>
        <w:noProof/>
      </w:rPr>
      <w:t>34</w:t>
    </w:r>
    <w:r>
      <w:fldChar w:fldCharType="end"/>
    </w:r>
  </w:p>
  <w:p w:rsidR="00C873F2" w:rsidRDefault="00C873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05" w:rsidRDefault="00FF6505" w:rsidP="00C33844">
      <w:pPr>
        <w:spacing w:after="0" w:line="240" w:lineRule="auto"/>
      </w:pPr>
      <w:r>
        <w:separator/>
      </w:r>
    </w:p>
  </w:footnote>
  <w:footnote w:type="continuationSeparator" w:id="0">
    <w:p w:rsidR="00FF6505" w:rsidRDefault="00FF6505"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2"/>
  </w:num>
  <w:num w:numId="26">
    <w:abstractNumId w:val="35"/>
  </w:num>
  <w:num w:numId="27">
    <w:abstractNumId w:val="7"/>
  </w:num>
  <w:num w:numId="28">
    <w:abstractNumId w:val="9"/>
  </w:num>
  <w:num w:numId="29">
    <w:abstractNumId w:val="32"/>
  </w:num>
  <w:num w:numId="30">
    <w:abstractNumId w:val="17"/>
  </w:num>
  <w:num w:numId="31">
    <w:abstractNumId w:val="43"/>
  </w:num>
  <w:num w:numId="32">
    <w:abstractNumId w:val="6"/>
  </w:num>
  <w:num w:numId="33">
    <w:abstractNumId w:val="8"/>
  </w:num>
  <w:num w:numId="34">
    <w:abstractNumId w:val="27"/>
  </w:num>
  <w:num w:numId="35">
    <w:abstractNumId w:val="34"/>
  </w:num>
  <w:num w:numId="36">
    <w:abstractNumId w:val="22"/>
  </w:num>
  <w:num w:numId="37">
    <w:abstractNumId w:val="44"/>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0"/>
  </w:num>
  <w:num w:numId="49">
    <w:abstractNumId w:val="15"/>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25C1"/>
    <w:rsid w:val="00003188"/>
    <w:rsid w:val="000244EF"/>
    <w:rsid w:val="000278EE"/>
    <w:rsid w:val="00044BC1"/>
    <w:rsid w:val="000555FC"/>
    <w:rsid w:val="00055B6B"/>
    <w:rsid w:val="0005754E"/>
    <w:rsid w:val="00061941"/>
    <w:rsid w:val="00092DE4"/>
    <w:rsid w:val="000C5637"/>
    <w:rsid w:val="000E234D"/>
    <w:rsid w:val="000E61A2"/>
    <w:rsid w:val="000F1C68"/>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8589B"/>
    <w:rsid w:val="002B0A10"/>
    <w:rsid w:val="002B1CAB"/>
    <w:rsid w:val="002B320F"/>
    <w:rsid w:val="002B3E15"/>
    <w:rsid w:val="002C17A5"/>
    <w:rsid w:val="002C5615"/>
    <w:rsid w:val="002C761D"/>
    <w:rsid w:val="002D5BA1"/>
    <w:rsid w:val="00305E2E"/>
    <w:rsid w:val="00310838"/>
    <w:rsid w:val="003127CD"/>
    <w:rsid w:val="00316B52"/>
    <w:rsid w:val="003226BF"/>
    <w:rsid w:val="0032561E"/>
    <w:rsid w:val="003259DC"/>
    <w:rsid w:val="00326128"/>
    <w:rsid w:val="003310BF"/>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12AE"/>
    <w:rsid w:val="00502AC2"/>
    <w:rsid w:val="00503FB6"/>
    <w:rsid w:val="00507D22"/>
    <w:rsid w:val="0051692A"/>
    <w:rsid w:val="005205E5"/>
    <w:rsid w:val="00523FE0"/>
    <w:rsid w:val="005327F8"/>
    <w:rsid w:val="0055513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76C0"/>
    <w:rsid w:val="00652517"/>
    <w:rsid w:val="00657B88"/>
    <w:rsid w:val="00661F41"/>
    <w:rsid w:val="00676062"/>
    <w:rsid w:val="00686586"/>
    <w:rsid w:val="006A3924"/>
    <w:rsid w:val="006D1065"/>
    <w:rsid w:val="006D2972"/>
    <w:rsid w:val="006D3580"/>
    <w:rsid w:val="006D7788"/>
    <w:rsid w:val="006E2C54"/>
    <w:rsid w:val="006E3E9B"/>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316B2"/>
    <w:rsid w:val="00B36792"/>
    <w:rsid w:val="00B5167A"/>
    <w:rsid w:val="00B64008"/>
    <w:rsid w:val="00B66970"/>
    <w:rsid w:val="00B86BF8"/>
    <w:rsid w:val="00B92C42"/>
    <w:rsid w:val="00BB0514"/>
    <w:rsid w:val="00BB24CA"/>
    <w:rsid w:val="00BB26CB"/>
    <w:rsid w:val="00BB2C3F"/>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873F2"/>
    <w:rsid w:val="00C96B87"/>
    <w:rsid w:val="00CD0E59"/>
    <w:rsid w:val="00CD6612"/>
    <w:rsid w:val="00CD6EF6"/>
    <w:rsid w:val="00D14AB3"/>
    <w:rsid w:val="00D15311"/>
    <w:rsid w:val="00D162AC"/>
    <w:rsid w:val="00D2352C"/>
    <w:rsid w:val="00D33A37"/>
    <w:rsid w:val="00D42A97"/>
    <w:rsid w:val="00D46A0B"/>
    <w:rsid w:val="00D72F1C"/>
    <w:rsid w:val="00D76D33"/>
    <w:rsid w:val="00D77F43"/>
    <w:rsid w:val="00D801E1"/>
    <w:rsid w:val="00D90E1F"/>
    <w:rsid w:val="00DA576E"/>
    <w:rsid w:val="00DB2AE8"/>
    <w:rsid w:val="00DB7496"/>
    <w:rsid w:val="00DD350B"/>
    <w:rsid w:val="00E01A09"/>
    <w:rsid w:val="00E02447"/>
    <w:rsid w:val="00E1382A"/>
    <w:rsid w:val="00E13877"/>
    <w:rsid w:val="00E22B60"/>
    <w:rsid w:val="00E40255"/>
    <w:rsid w:val="00E44A10"/>
    <w:rsid w:val="00E51ECE"/>
    <w:rsid w:val="00E579B2"/>
    <w:rsid w:val="00E6590E"/>
    <w:rsid w:val="00E6700D"/>
    <w:rsid w:val="00E75D31"/>
    <w:rsid w:val="00E82AC8"/>
    <w:rsid w:val="00E85001"/>
    <w:rsid w:val="00EC2322"/>
    <w:rsid w:val="00EC54C3"/>
    <w:rsid w:val="00ED4A4D"/>
    <w:rsid w:val="00EE17E2"/>
    <w:rsid w:val="00EF6EC5"/>
    <w:rsid w:val="00F05011"/>
    <w:rsid w:val="00F06931"/>
    <w:rsid w:val="00F17122"/>
    <w:rsid w:val="00F511D9"/>
    <w:rsid w:val="00F56B3E"/>
    <w:rsid w:val="00F57EAE"/>
    <w:rsid w:val="00F614AF"/>
    <w:rsid w:val="00F659F2"/>
    <w:rsid w:val="00F737AF"/>
    <w:rsid w:val="00F771E4"/>
    <w:rsid w:val="00F82D05"/>
    <w:rsid w:val="00F9228C"/>
    <w:rsid w:val="00F9454D"/>
    <w:rsid w:val="00FA61BF"/>
    <w:rsid w:val="00FC0F9F"/>
    <w:rsid w:val="00FC153E"/>
    <w:rsid w:val="00FC3500"/>
    <w:rsid w:val="00FC4878"/>
    <w:rsid w:val="00FC6555"/>
    <w:rsid w:val="00FD1943"/>
    <w:rsid w:val="00FD6D24"/>
    <w:rsid w:val="00FE3F28"/>
    <w:rsid w:val="00FF0312"/>
    <w:rsid w:val="00FF2131"/>
    <w:rsid w:val="00FF6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E69F-77FC-4A4A-A5A4-EB78AB70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16613</Words>
  <Characters>98018</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78</cp:revision>
  <cp:lastPrinted>2023-03-29T12:51:00Z</cp:lastPrinted>
  <dcterms:created xsi:type="dcterms:W3CDTF">2023-02-01T09:04:00Z</dcterms:created>
  <dcterms:modified xsi:type="dcterms:W3CDTF">2023-05-31T09:12:00Z</dcterms:modified>
</cp:coreProperties>
</file>