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E7E" w:rsidRPr="008C615C" w:rsidRDefault="00911A25" w:rsidP="00D718C6">
      <w:pPr>
        <w:pStyle w:val="Zkladntext20"/>
        <w:spacing w:after="240"/>
        <w:rPr>
          <w:rStyle w:val="Zkladntext2"/>
          <w:b/>
          <w:bCs/>
          <w:color w:val="auto"/>
          <w:sz w:val="36"/>
          <w:szCs w:val="36"/>
        </w:rPr>
      </w:pPr>
      <w:r>
        <w:rPr>
          <w:rStyle w:val="Zkladntext2"/>
          <w:b/>
          <w:bCs/>
          <w:color w:val="auto"/>
          <w:sz w:val="36"/>
          <w:szCs w:val="36"/>
        </w:rPr>
        <w:t>Opatření</w:t>
      </w:r>
      <w:r w:rsidR="00E56ECD">
        <w:rPr>
          <w:rStyle w:val="Zkladntext2"/>
          <w:b/>
          <w:bCs/>
          <w:color w:val="auto"/>
          <w:sz w:val="36"/>
          <w:szCs w:val="36"/>
        </w:rPr>
        <w:t xml:space="preserve"> předsedy soudu</w:t>
      </w:r>
    </w:p>
    <w:p w:rsidR="00BF24ED" w:rsidRPr="0025617D" w:rsidRDefault="00E56ECD" w:rsidP="00A71A05">
      <w:pPr>
        <w:pStyle w:val="Zkladntext20"/>
        <w:spacing w:after="480"/>
        <w:rPr>
          <w:color w:val="auto"/>
        </w:rPr>
      </w:pPr>
      <w:r w:rsidRPr="0025617D">
        <w:rPr>
          <w:rStyle w:val="Zkladntext2"/>
          <w:b/>
          <w:bCs/>
          <w:color w:val="auto"/>
        </w:rPr>
        <w:t>k zajištění bezpečnosti osob v budově Okresního soudu v Chebu</w:t>
      </w:r>
    </w:p>
    <w:p w:rsidR="00851CFD" w:rsidRPr="0025617D" w:rsidRDefault="00851CFD" w:rsidP="003F643D">
      <w:pPr>
        <w:pStyle w:val="Zkladntext1"/>
        <w:numPr>
          <w:ilvl w:val="0"/>
          <w:numId w:val="1"/>
        </w:numPr>
        <w:spacing w:after="120" w:line="266" w:lineRule="auto"/>
        <w:ind w:left="425" w:hanging="425"/>
        <w:jc w:val="both"/>
        <w:rPr>
          <w:strike/>
          <w:color w:val="auto"/>
          <w:sz w:val="24"/>
          <w:szCs w:val="24"/>
        </w:rPr>
      </w:pPr>
      <w:r w:rsidRPr="0025617D">
        <w:rPr>
          <w:rStyle w:val="Zkladntext"/>
          <w:color w:val="auto"/>
          <w:sz w:val="24"/>
          <w:szCs w:val="24"/>
        </w:rPr>
        <w:t>Vstup do budovy okresního soudu se nepovoluje zejména osobám podnapilým, nebo osobám, u kterých je důvodné podezření, že by mohly ohrozit zdraví a život osob, způsobit škodu nebo jinak narušovat pořádek a bezpečnost. Zaměstnanci soudu jsou povinni na pohyb těchto osob v budově soudu upozornit justiční stráž, která zjedná nápravu.</w:t>
      </w:r>
    </w:p>
    <w:p w:rsidR="00DB455D" w:rsidRPr="0025617D" w:rsidRDefault="00851CFD" w:rsidP="003F643D">
      <w:pPr>
        <w:pStyle w:val="Zkladntext1"/>
        <w:numPr>
          <w:ilvl w:val="0"/>
          <w:numId w:val="1"/>
        </w:numPr>
        <w:spacing w:after="120" w:line="266" w:lineRule="auto"/>
        <w:ind w:left="425" w:hanging="425"/>
        <w:jc w:val="both"/>
        <w:rPr>
          <w:rStyle w:val="Zkladntext"/>
          <w:strike/>
          <w:color w:val="auto"/>
          <w:sz w:val="24"/>
          <w:szCs w:val="24"/>
        </w:rPr>
      </w:pPr>
      <w:r w:rsidRPr="0025617D">
        <w:rPr>
          <w:rFonts w:cs="Arial"/>
          <w:bCs/>
          <w:color w:val="auto"/>
          <w:sz w:val="24"/>
          <w:szCs w:val="24"/>
          <w:shd w:val="clear" w:color="auto" w:fill="FFFFFF"/>
        </w:rPr>
        <w:t>Do budovy soudu je zakázáno vstupovat se zbraní nebo s jinými předměty, které jsou způsobilé ohrozit život nebo zdraví anebo pořádek</w:t>
      </w:r>
      <w:r w:rsidRPr="0025617D">
        <w:rPr>
          <w:rFonts w:cs="Arial"/>
          <w:color w:val="auto"/>
          <w:sz w:val="24"/>
          <w:szCs w:val="24"/>
          <w:shd w:val="clear" w:color="auto" w:fill="FFFFFF"/>
        </w:rPr>
        <w:t>. Tento zákaz se nevztahuje na soudce a na příslušníky ozbrojených sil a ozbrojených sborů, jestliže vstupují do budovy soudu v souvislosti s plněním svým služebních povinností.</w:t>
      </w:r>
    </w:p>
    <w:p w:rsidR="00706264" w:rsidRPr="0025617D" w:rsidRDefault="0025617D" w:rsidP="00E56ECD">
      <w:pPr>
        <w:pStyle w:val="Zkladntext1"/>
        <w:numPr>
          <w:ilvl w:val="0"/>
          <w:numId w:val="1"/>
        </w:numPr>
        <w:spacing w:after="120" w:line="266" w:lineRule="auto"/>
        <w:ind w:left="425" w:hanging="425"/>
        <w:jc w:val="both"/>
        <w:rPr>
          <w:rStyle w:val="Zkladntext"/>
          <w:color w:val="FF0000"/>
          <w:sz w:val="24"/>
          <w:szCs w:val="24"/>
        </w:rPr>
      </w:pPr>
      <w:r w:rsidRPr="0025617D">
        <w:rPr>
          <w:rStyle w:val="Zkladntext"/>
          <w:sz w:val="24"/>
          <w:szCs w:val="24"/>
        </w:rPr>
        <w:t>Vstup do budovy soudu však lze umožnit osobě - držiteli krátké střelné zbraně, po uložení krátké střelné zbraně do uzamykatelného boxu umístěného ve vestibulu okresního soudu</w:t>
      </w:r>
      <w:r w:rsidR="00911A25">
        <w:rPr>
          <w:rStyle w:val="Zkladntext"/>
          <w:sz w:val="24"/>
          <w:szCs w:val="24"/>
        </w:rPr>
        <w:t>.</w:t>
      </w:r>
      <w:r w:rsidR="002A5C95">
        <w:rPr>
          <w:rStyle w:val="Zkladntext"/>
          <w:sz w:val="24"/>
          <w:szCs w:val="24"/>
        </w:rPr>
        <w:t xml:space="preserve"> Za </w:t>
      </w:r>
      <w:r w:rsidRPr="0025617D">
        <w:rPr>
          <w:rStyle w:val="Zkladntext"/>
          <w:sz w:val="24"/>
          <w:szCs w:val="24"/>
        </w:rPr>
        <w:t>manipulaci s krátkou střelnou zbraní odpovídá držitel střelné zbraně.</w:t>
      </w:r>
    </w:p>
    <w:p w:rsidR="00706264" w:rsidRPr="00911A25" w:rsidRDefault="00706264" w:rsidP="00E56ECD">
      <w:pPr>
        <w:pStyle w:val="Zkladntext1"/>
        <w:numPr>
          <w:ilvl w:val="0"/>
          <w:numId w:val="1"/>
        </w:numPr>
        <w:spacing w:after="120" w:line="266" w:lineRule="auto"/>
        <w:ind w:left="425" w:hanging="425"/>
        <w:jc w:val="both"/>
        <w:rPr>
          <w:color w:val="auto"/>
          <w:sz w:val="24"/>
          <w:szCs w:val="24"/>
        </w:rPr>
      </w:pPr>
      <w:r w:rsidRPr="00911A25">
        <w:rPr>
          <w:rStyle w:val="Zkladntext"/>
          <w:color w:val="auto"/>
          <w:sz w:val="24"/>
          <w:szCs w:val="24"/>
        </w:rPr>
        <w:t>Do budovy soudu je zakázáno vnášet zbraně, střelivo a výbušniny s výjimkami shora uvedenými. Při porušení tohoto zákazu, zabrání justiční stráž takové osobě vstupu do budovy soudu a o této situaci bude informovat předsedu soudu, případně místopředsedu soudu, ředitele správy soudu, případně osobu, která takovou osobu předvolala či je účastna na jejím jednání.</w:t>
      </w:r>
    </w:p>
    <w:p w:rsidR="00986DE5" w:rsidRPr="00911A25" w:rsidRDefault="00986DE5" w:rsidP="00E56ECD">
      <w:pPr>
        <w:pStyle w:val="Zkladntext1"/>
        <w:numPr>
          <w:ilvl w:val="0"/>
          <w:numId w:val="1"/>
        </w:numPr>
        <w:spacing w:after="120" w:line="266" w:lineRule="auto"/>
        <w:ind w:left="425" w:hanging="425"/>
        <w:jc w:val="both"/>
        <w:rPr>
          <w:color w:val="auto"/>
          <w:sz w:val="24"/>
          <w:szCs w:val="24"/>
        </w:rPr>
      </w:pPr>
      <w:r w:rsidRPr="00911A25">
        <w:rPr>
          <w:rFonts w:cs="Times New Roman"/>
          <w:color w:val="auto"/>
          <w:sz w:val="24"/>
          <w:szCs w:val="24"/>
        </w:rPr>
        <w:t xml:space="preserve">Ruší se opatření předsedy Okresního soudu v Chebu </w:t>
      </w:r>
      <w:r w:rsidR="006A271B" w:rsidRPr="00911A25">
        <w:rPr>
          <w:rFonts w:cs="Times New Roman"/>
          <w:color w:val="auto"/>
          <w:sz w:val="24"/>
          <w:szCs w:val="24"/>
        </w:rPr>
        <w:t>ze dne 14. 4. 2021, č. j. Spr </w:t>
      </w:r>
      <w:r w:rsidR="00911A25">
        <w:rPr>
          <w:rFonts w:cs="Times New Roman"/>
          <w:color w:val="auto"/>
          <w:sz w:val="24"/>
          <w:szCs w:val="24"/>
        </w:rPr>
        <w:t>437/2021-2 a </w:t>
      </w:r>
      <w:r w:rsidRPr="00911A25">
        <w:rPr>
          <w:rFonts w:cs="Times New Roman"/>
          <w:color w:val="auto"/>
          <w:sz w:val="24"/>
          <w:szCs w:val="24"/>
        </w:rPr>
        <w:t>pokyn předsedy Okresního soudu v Chebu ze dne 1</w:t>
      </w:r>
      <w:r w:rsidR="006A271B" w:rsidRPr="00911A25">
        <w:rPr>
          <w:rFonts w:cs="Times New Roman"/>
          <w:color w:val="auto"/>
          <w:sz w:val="24"/>
          <w:szCs w:val="24"/>
        </w:rPr>
        <w:t>4. 4. 2021, č. j. Spr </w:t>
      </w:r>
      <w:r w:rsidRPr="00911A25">
        <w:rPr>
          <w:rFonts w:cs="Times New Roman"/>
          <w:color w:val="auto"/>
          <w:sz w:val="24"/>
          <w:szCs w:val="24"/>
        </w:rPr>
        <w:t>437/2021-3</w:t>
      </w:r>
      <w:r w:rsidR="006A271B" w:rsidRPr="00911A25">
        <w:rPr>
          <w:rFonts w:cs="Times New Roman"/>
          <w:color w:val="auto"/>
          <w:sz w:val="24"/>
          <w:szCs w:val="24"/>
        </w:rPr>
        <w:t>.</w:t>
      </w:r>
      <w:r w:rsidR="00911A25" w:rsidRPr="00911A25">
        <w:rPr>
          <w:rFonts w:cs="Times New Roman"/>
          <w:color w:val="auto"/>
          <w:sz w:val="24"/>
          <w:szCs w:val="24"/>
        </w:rPr>
        <w:t xml:space="preserve"> </w:t>
      </w:r>
    </w:p>
    <w:p w:rsidR="006A271B" w:rsidRPr="00911A25" w:rsidRDefault="002A5C95" w:rsidP="006328A4">
      <w:pPr>
        <w:pStyle w:val="Zkladntext1"/>
        <w:spacing w:before="360" w:after="120" w:line="266" w:lineRule="auto"/>
        <w:jc w:val="both"/>
        <w:rPr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Cheb 30. 11. 2022</w:t>
      </w:r>
    </w:p>
    <w:p w:rsidR="00BF24ED" w:rsidRPr="00095E7E" w:rsidRDefault="00761480" w:rsidP="00E56ECD">
      <w:pPr>
        <w:pStyle w:val="Zkladntext1"/>
        <w:spacing w:before="480" w:after="0" w:line="240" w:lineRule="auto"/>
        <w:rPr>
          <w:color w:val="auto"/>
          <w:sz w:val="24"/>
          <w:szCs w:val="24"/>
        </w:rPr>
      </w:pPr>
      <w:r w:rsidRPr="00095E7E">
        <w:rPr>
          <w:rStyle w:val="Zkladntext"/>
          <w:color w:val="auto"/>
          <w:sz w:val="24"/>
          <w:szCs w:val="24"/>
        </w:rPr>
        <w:t xml:space="preserve">Mgr. </w:t>
      </w:r>
      <w:r w:rsidR="00A71A05" w:rsidRPr="00095E7E">
        <w:rPr>
          <w:rStyle w:val="Zkladntext"/>
          <w:color w:val="auto"/>
          <w:sz w:val="24"/>
          <w:szCs w:val="24"/>
        </w:rPr>
        <w:t>Robert Plášil</w:t>
      </w:r>
      <w:r w:rsidR="006B19F5">
        <w:rPr>
          <w:rStyle w:val="Zkladntext"/>
          <w:color w:val="auto"/>
          <w:sz w:val="24"/>
          <w:szCs w:val="24"/>
        </w:rPr>
        <w:t>, v. r.</w:t>
      </w:r>
    </w:p>
    <w:p w:rsidR="00BF24ED" w:rsidRPr="00C72BB6" w:rsidRDefault="00A71A05">
      <w:pPr>
        <w:pStyle w:val="Zkladntext1"/>
        <w:spacing w:line="240" w:lineRule="auto"/>
        <w:rPr>
          <w:color w:val="auto"/>
          <w:sz w:val="20"/>
          <w:szCs w:val="20"/>
        </w:rPr>
      </w:pPr>
      <w:r w:rsidRPr="00C72BB6">
        <w:rPr>
          <w:rStyle w:val="Zkladntext"/>
          <w:color w:val="auto"/>
          <w:sz w:val="20"/>
          <w:szCs w:val="20"/>
        </w:rPr>
        <w:t>p</w:t>
      </w:r>
      <w:r w:rsidR="00761480" w:rsidRPr="00C72BB6">
        <w:rPr>
          <w:rStyle w:val="Zkladntext"/>
          <w:color w:val="auto"/>
          <w:sz w:val="20"/>
          <w:szCs w:val="20"/>
        </w:rPr>
        <w:t>ředseda Okre</w:t>
      </w:r>
      <w:bookmarkStart w:id="0" w:name="_GoBack"/>
      <w:bookmarkEnd w:id="0"/>
      <w:r w:rsidR="00761480" w:rsidRPr="00C72BB6">
        <w:rPr>
          <w:rStyle w:val="Zkladntext"/>
          <w:color w:val="auto"/>
          <w:sz w:val="20"/>
          <w:szCs w:val="20"/>
        </w:rPr>
        <w:t>sního soudu v Chebu</w:t>
      </w:r>
    </w:p>
    <w:sectPr w:rsidR="00BF24ED" w:rsidRPr="00C72BB6" w:rsidSect="0030729E">
      <w:headerReference w:type="default" r:id="rId7"/>
      <w:footerReference w:type="default" r:id="rId8"/>
      <w:pgSz w:w="11900" w:h="16840"/>
      <w:pgMar w:top="1843" w:right="1306" w:bottom="1105" w:left="1440" w:header="677" w:footer="67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F31" w:rsidRDefault="00761480">
      <w:r>
        <w:separator/>
      </w:r>
    </w:p>
  </w:endnote>
  <w:endnote w:type="continuationSeparator" w:id="0">
    <w:p w:rsidR="009A5F31" w:rsidRDefault="0076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9F5" w:rsidRPr="006B19F5" w:rsidRDefault="006B19F5">
    <w:pPr>
      <w:pStyle w:val="Zpat"/>
      <w:rPr>
        <w:rFonts w:ascii="Garamond" w:hAnsi="Garamond"/>
        <w:sz w:val="20"/>
        <w:szCs w:val="20"/>
      </w:rPr>
    </w:pPr>
    <w:r w:rsidRPr="006B19F5">
      <w:rPr>
        <w:rFonts w:ascii="Garamond" w:hAnsi="Garamond"/>
        <w:sz w:val="20"/>
        <w:szCs w:val="20"/>
      </w:rPr>
      <w:t xml:space="preserve">Za správnost vyhotovení: Marie Zámečníková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4ED" w:rsidRDefault="00BF24ED"/>
  </w:footnote>
  <w:footnote w:type="continuationSeparator" w:id="0">
    <w:p w:rsidR="00BF24ED" w:rsidRDefault="00BF24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05" w:rsidRDefault="00A71A05" w:rsidP="00A71A05">
    <w:pPr>
      <w:pStyle w:val="Zkladntext1"/>
      <w:spacing w:after="0" w:line="240" w:lineRule="auto"/>
      <w:jc w:val="right"/>
      <w:rPr>
        <w:rStyle w:val="Zkladntext"/>
      </w:rPr>
    </w:pPr>
    <w:r>
      <w:rPr>
        <w:rStyle w:val="Zkladntext"/>
      </w:rPr>
      <w:t xml:space="preserve">Spr </w:t>
    </w:r>
    <w:r w:rsidR="00996377">
      <w:rPr>
        <w:rStyle w:val="Zkladntext"/>
      </w:rPr>
      <w:t>1398</w:t>
    </w:r>
    <w:r w:rsidR="00C7415F">
      <w:rPr>
        <w:rStyle w:val="Zkladntext"/>
      </w:rPr>
      <w:t>/</w:t>
    </w:r>
    <w:r>
      <w:rPr>
        <w:rStyle w:val="Zkladntext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8374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ED"/>
    <w:rsid w:val="00054B52"/>
    <w:rsid w:val="000908FA"/>
    <w:rsid w:val="00095E7E"/>
    <w:rsid w:val="000B030A"/>
    <w:rsid w:val="000C6774"/>
    <w:rsid w:val="000F388D"/>
    <w:rsid w:val="001936D6"/>
    <w:rsid w:val="001E2D3B"/>
    <w:rsid w:val="001E3326"/>
    <w:rsid w:val="00236B91"/>
    <w:rsid w:val="0025617D"/>
    <w:rsid w:val="002A5C95"/>
    <w:rsid w:val="002E0C08"/>
    <w:rsid w:val="0030729E"/>
    <w:rsid w:val="00312885"/>
    <w:rsid w:val="00322496"/>
    <w:rsid w:val="00322E24"/>
    <w:rsid w:val="00392F57"/>
    <w:rsid w:val="003E1FC4"/>
    <w:rsid w:val="003F643D"/>
    <w:rsid w:val="00421307"/>
    <w:rsid w:val="004A30F0"/>
    <w:rsid w:val="004B258E"/>
    <w:rsid w:val="004C04B3"/>
    <w:rsid w:val="004D1A87"/>
    <w:rsid w:val="004E5FA9"/>
    <w:rsid w:val="004E772A"/>
    <w:rsid w:val="00542A58"/>
    <w:rsid w:val="00542D2B"/>
    <w:rsid w:val="00573D60"/>
    <w:rsid w:val="0058485B"/>
    <w:rsid w:val="00592EEF"/>
    <w:rsid w:val="005B1ACA"/>
    <w:rsid w:val="005E2388"/>
    <w:rsid w:val="006328A4"/>
    <w:rsid w:val="00640CB5"/>
    <w:rsid w:val="00652987"/>
    <w:rsid w:val="006A271B"/>
    <w:rsid w:val="006B19F5"/>
    <w:rsid w:val="00706264"/>
    <w:rsid w:val="007377B9"/>
    <w:rsid w:val="00761480"/>
    <w:rsid w:val="008011B7"/>
    <w:rsid w:val="00851CFD"/>
    <w:rsid w:val="00864576"/>
    <w:rsid w:val="008A53E1"/>
    <w:rsid w:val="008C615C"/>
    <w:rsid w:val="00911A25"/>
    <w:rsid w:val="00986DE5"/>
    <w:rsid w:val="00996377"/>
    <w:rsid w:val="009A1683"/>
    <w:rsid w:val="009A3535"/>
    <w:rsid w:val="009A5F31"/>
    <w:rsid w:val="009E26B5"/>
    <w:rsid w:val="00A71A05"/>
    <w:rsid w:val="00AB0488"/>
    <w:rsid w:val="00B8038E"/>
    <w:rsid w:val="00BE7966"/>
    <w:rsid w:val="00BF24ED"/>
    <w:rsid w:val="00C72BB6"/>
    <w:rsid w:val="00C7415F"/>
    <w:rsid w:val="00CE66A2"/>
    <w:rsid w:val="00CF7278"/>
    <w:rsid w:val="00D718C6"/>
    <w:rsid w:val="00DB455D"/>
    <w:rsid w:val="00E43D5B"/>
    <w:rsid w:val="00E56ECD"/>
    <w:rsid w:val="00E858DA"/>
    <w:rsid w:val="00F048B6"/>
    <w:rsid w:val="00F40CCA"/>
    <w:rsid w:val="00F7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B0A909F"/>
  <w15:docId w15:val="{CC4D15F9-8E92-42ED-9EEE-B262C244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Garamond" w:eastAsia="Garamond" w:hAnsi="Garamond" w:cs="Garamond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1">
    <w:name w:val="Základní text1"/>
    <w:basedOn w:val="Normln"/>
    <w:link w:val="Zkladntext"/>
    <w:pPr>
      <w:spacing w:after="260" w:line="262" w:lineRule="auto"/>
    </w:pPr>
    <w:rPr>
      <w:rFonts w:ascii="Garamond" w:eastAsia="Garamond" w:hAnsi="Garamond" w:cs="Garamond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pacing w:after="800"/>
      <w:jc w:val="center"/>
    </w:pPr>
    <w:rPr>
      <w:rFonts w:ascii="Garamond" w:eastAsia="Garamond" w:hAnsi="Garamond" w:cs="Garamond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A71A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1A0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71A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1A05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14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480"/>
    <w:rPr>
      <w:rFonts w:ascii="Segoe UI" w:hAnsi="Segoe UI" w:cs="Segoe UI"/>
      <w:color w:val="000000"/>
      <w:sz w:val="18"/>
      <w:szCs w:val="18"/>
    </w:rPr>
  </w:style>
  <w:style w:type="character" w:styleId="Siln">
    <w:name w:val="Strong"/>
    <w:basedOn w:val="Standardnpsmoodstavce"/>
    <w:uiPriority w:val="22"/>
    <w:qFormat/>
    <w:rsid w:val="004E77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SKM_C25820081308460</vt:lpstr>
    </vt:vector>
  </TitlesOfParts>
  <Company>MSp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SKM_C25820081308460</dc:title>
  <dc:subject/>
  <dc:creator>Plášil Robert Mgr.</dc:creator>
  <cp:keywords/>
  <cp:lastModifiedBy>Marie Zámečníková</cp:lastModifiedBy>
  <cp:revision>15</cp:revision>
  <cp:lastPrinted>2022-11-30T13:42:00Z</cp:lastPrinted>
  <dcterms:created xsi:type="dcterms:W3CDTF">2022-11-11T09:16:00Z</dcterms:created>
  <dcterms:modified xsi:type="dcterms:W3CDTF">2022-11-30T14:27:00Z</dcterms:modified>
</cp:coreProperties>
</file>