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3D" w:rsidRPr="00761725" w:rsidRDefault="0066743D" w:rsidP="0066743D">
      <w:pPr>
        <w:shd w:val="clear" w:color="auto" w:fill="FFFFFF"/>
        <w:spacing w:before="240" w:after="120" w:line="240" w:lineRule="auto"/>
        <w:outlineLvl w:val="1"/>
        <w:rPr>
          <w:rFonts w:ascii="Garamond" w:eastAsia="Times New Roman" w:hAnsi="Garamond" w:cs="Arial"/>
          <w:b/>
          <w:color w:val="030303"/>
          <w:kern w:val="36"/>
          <w:sz w:val="32"/>
          <w:szCs w:val="32"/>
          <w:lang w:eastAsia="cs-CZ"/>
        </w:rPr>
      </w:pPr>
      <w:r w:rsidRPr="00761725">
        <w:rPr>
          <w:rFonts w:ascii="Garamond" w:eastAsia="Times New Roman" w:hAnsi="Garamond" w:cs="Arial"/>
          <w:b/>
          <w:color w:val="030303"/>
          <w:kern w:val="36"/>
          <w:sz w:val="32"/>
          <w:szCs w:val="32"/>
          <w:lang w:eastAsia="cs-CZ"/>
        </w:rPr>
        <w:t>Nejdůležitější používané předpisy</w:t>
      </w:r>
    </w:p>
    <w:p w:rsidR="0066743D" w:rsidRPr="00761725" w:rsidRDefault="0066743D" w:rsidP="00761725">
      <w:pPr>
        <w:shd w:val="clear" w:color="auto" w:fill="FFFFFF"/>
        <w:spacing w:before="100" w:beforeAutospacing="1" w:after="384" w:line="384" w:lineRule="atLeast"/>
        <w:jc w:val="both"/>
        <w:rPr>
          <w:rFonts w:ascii="Garamond" w:eastAsia="Times New Roman" w:hAnsi="Garamond" w:cs="Arial"/>
          <w:color w:val="030303"/>
          <w:sz w:val="28"/>
          <w:szCs w:val="28"/>
          <w:lang w:eastAsia="cs-CZ"/>
        </w:rPr>
      </w:pP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>Přehled nejdůležitějších předpisů, podle nichž krajský soud zejména jedná a rozhoduje:</w:t>
      </w:r>
    </w:p>
    <w:p w:rsidR="0066743D" w:rsidRPr="00761725" w:rsidRDefault="0066743D" w:rsidP="0066743D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color w:val="030303"/>
          <w:sz w:val="28"/>
          <w:szCs w:val="28"/>
          <w:lang w:eastAsia="cs-CZ"/>
        </w:rPr>
      </w:pP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40/2009 Sb.,  trestní zákoník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141/1961 Sb., o trestním řízení soudním (trestní řád)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 xml:space="preserve">Zákon č. 99/1963 Sb., občanský </w:t>
      </w:r>
      <w:r w:rsidR="00CF1F66"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>soudní řád</w:t>
      </w:r>
      <w:r w:rsidR="00CF1F66"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 xml:space="preserve"> č. 89/2012 Sb., občanský zákoník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182/2006 Sb, o úpadku a způsobech jeho řešení (insolvenční zákon)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90/2012 Sb., zákon o obchodních korporacích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563/1991 Sb., o účetnictví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121/2008 SB., o vyšších soudních úřednících a vyšších úřednících státního zastupitelství a o změně souvisejících zákonů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106/1999 Sb., o svobodném přístupu k informacím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13</w:t>
      </w:r>
      <w:r w:rsidR="00CF1F66"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 xml:space="preserve">4/2016 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>Sb., o zadávání veřejných zakázek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218/2000 Sb., o rozpočtových pravidlech a o změně některých souvisejících zákonů (rozpočtová pravidla)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219/2000 Sb., o majetku České republiky a jejím vystupování v právních vztazích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257/2000 Sb., o</w:t>
      </w:r>
      <w:r w:rsidR="00CF1F66"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 xml:space="preserve"> P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>robační a mediační službě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6/2002 Sb., o soudech, soudcích, přísedících a státní správě soudů a o změně některých dalších zákonů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Zákon č. 7/2002 Sb., o řízení ve věcech soudců a státních zástupců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Vyhláška MS ČR č. 37/1992 Sb., o jednacím řádu pro okresní a krajské soudy</w:t>
      </w: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br/>
        <w:t>Instrukce MS ČR č. j. 505/2001-Org, kterou se vydává vnitřní a kancelářský řád pro okresní, krajské a vrchní soudy</w:t>
      </w:r>
    </w:p>
    <w:p w:rsidR="0066743D" w:rsidRPr="00761725" w:rsidRDefault="0066743D" w:rsidP="00761725">
      <w:pPr>
        <w:shd w:val="clear" w:color="auto" w:fill="FFFFFF"/>
        <w:spacing w:before="100" w:beforeAutospacing="1" w:after="384" w:line="384" w:lineRule="atLeast"/>
        <w:jc w:val="both"/>
        <w:rPr>
          <w:rFonts w:ascii="Garamond" w:eastAsia="Times New Roman" w:hAnsi="Garamond" w:cs="Arial"/>
          <w:color w:val="030303"/>
          <w:sz w:val="28"/>
          <w:szCs w:val="28"/>
          <w:lang w:eastAsia="cs-CZ"/>
        </w:rPr>
      </w:pP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 xml:space="preserve">Právní předpisy jsou k nahlédnutí v knihovně Krajského soudu v Českých Budějovicích na č. dv. 76 -  p. Čížková v době určené pro styk s veřejností. </w:t>
      </w:r>
    </w:p>
    <w:p w:rsidR="0027088E" w:rsidRPr="00761725" w:rsidRDefault="0066743D" w:rsidP="00761725">
      <w:pPr>
        <w:shd w:val="clear" w:color="auto" w:fill="FFFFFF"/>
        <w:spacing w:before="100" w:beforeAutospacing="1" w:after="384" w:line="384" w:lineRule="atLeast"/>
        <w:jc w:val="both"/>
        <w:rPr>
          <w:rFonts w:ascii="Garamond" w:hAnsi="Garamond"/>
          <w:sz w:val="28"/>
          <w:szCs w:val="28"/>
        </w:rPr>
      </w:pPr>
      <w:r w:rsidRPr="00761725">
        <w:rPr>
          <w:rFonts w:ascii="Garamond" w:eastAsia="Times New Roman" w:hAnsi="Garamond" w:cs="Arial"/>
          <w:color w:val="030303"/>
          <w:sz w:val="28"/>
          <w:szCs w:val="28"/>
          <w:lang w:eastAsia="cs-CZ"/>
        </w:rPr>
        <w:t>V budově Krajského soudu v Českých Budějovicích - pobočka v Táboře je možné do těchto předpisů nahlédnout na č. dv. 119 - p. Krejčiříková, p. Andreasová v době určené pro styk s veřejností.</w:t>
      </w:r>
      <w:bookmarkStart w:id="0" w:name="_GoBack"/>
      <w:bookmarkEnd w:id="0"/>
    </w:p>
    <w:sectPr w:rsidR="0027088E" w:rsidRPr="0076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D"/>
    <w:rsid w:val="0027088E"/>
    <w:rsid w:val="0066743D"/>
    <w:rsid w:val="00761725"/>
    <w:rsid w:val="00965D44"/>
    <w:rsid w:val="00C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129A-413D-414E-AA5F-EF3A5DD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1426</Characters>
  <Application>Microsoft Office Word</Application>
  <DocSecurity>0</DocSecurity>
  <Lines>11</Lines>
  <Paragraphs>3</Paragraphs>
  <ScaleCrop>false</ScaleCrop>
  <Company>Msp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Józsová Jaroslava</dc:creator>
  <cp:keywords/>
  <dc:description/>
  <cp:lastModifiedBy>Józsová Jaroslava</cp:lastModifiedBy>
  <cp:revision>3</cp:revision>
  <dcterms:created xsi:type="dcterms:W3CDTF">2018-09-25T13:32:00Z</dcterms:created>
  <dcterms:modified xsi:type="dcterms:W3CDTF">2018-10-03T06:50:00Z</dcterms:modified>
</cp:coreProperties>
</file>