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30AD" w14:textId="77777777" w:rsidR="0045637B" w:rsidRDefault="0045637B" w:rsidP="0045637B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98911A" wp14:editId="330396D8">
                <wp:simplePos x="0" y="0"/>
                <wp:positionH relativeFrom="column">
                  <wp:posOffset>3949065</wp:posOffset>
                </wp:positionH>
                <wp:positionV relativeFrom="paragraph">
                  <wp:posOffset>-344625</wp:posOffset>
                </wp:positionV>
                <wp:extent cx="1613140" cy="457200"/>
                <wp:effectExtent l="0" t="0" r="635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1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7CEC8" w14:textId="77777777" w:rsidR="0045637B" w:rsidRDefault="0045637B" w:rsidP="0045637B">
                            <w:pPr>
                              <w:pStyle w:val="Rozsudek"/>
                              <w:jc w:val="right"/>
                            </w:pPr>
                            <w:r>
                              <w:t>61T 6/2016-424</w:t>
                            </w:r>
                          </w:p>
                          <w:p w14:paraId="09548AAD" w14:textId="77777777" w:rsidR="0045637B" w:rsidRDefault="0045637B" w:rsidP="0045637B">
                            <w:pPr>
                              <w:pStyle w:val="Rozsudek"/>
                              <w:jc w:val="right"/>
                            </w:pPr>
                          </w:p>
                          <w:p w14:paraId="0B58D549" w14:textId="77777777" w:rsidR="0045637B" w:rsidRDefault="0045637B" w:rsidP="0045637B">
                            <w:pPr>
                              <w:pStyle w:val="Rozsudek"/>
                              <w:jc w:val="right"/>
                            </w:pPr>
                          </w:p>
                          <w:p w14:paraId="69FAFB1A" w14:textId="77777777" w:rsidR="0045637B" w:rsidRDefault="0045637B" w:rsidP="0045637B">
                            <w:pPr>
                              <w:pStyle w:val="Rozsudek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0.95pt;margin-top:-27.15pt;width:1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" o:allowincell="f" stroked="f">
                <v:textbox>
                  <w:txbxContent>
                    <w:p w:rsidR="0045637B" w:rsidRDefault="0045637B" w:rsidP="0045637B">
                      <w:pPr>
                        <w:pStyle w:val="Rozsudek"/>
                        <w:jc w:val="right"/>
                      </w:pPr>
                      <w:r>
                        <w:t>61T 6/2016-424</w:t>
                      </w:r>
                    </w:p>
                    <w:p w:rsidR="0045637B" w:rsidRDefault="0045637B" w:rsidP="0045637B">
                      <w:pPr>
                        <w:pStyle w:val="Rozsudek"/>
                        <w:jc w:val="right"/>
                      </w:pPr>
                    </w:p>
                    <w:p w:rsidR="0045637B" w:rsidRDefault="0045637B" w:rsidP="0045637B">
                      <w:pPr>
                        <w:pStyle w:val="Rozsudek"/>
                        <w:jc w:val="right"/>
                      </w:pPr>
                    </w:p>
                    <w:p w:rsidR="0045637B" w:rsidRDefault="0045637B" w:rsidP="0045637B">
                      <w:pPr>
                        <w:pStyle w:val="Rozsudek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BEB4D0" wp14:editId="4E2B48F5">
            <wp:extent cx="1483995" cy="133731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43D48" w14:textId="77777777" w:rsidR="0045637B" w:rsidRDefault="0045637B" w:rsidP="0045637B">
      <w:pPr>
        <w:jc w:val="center"/>
        <w:rPr>
          <w:sz w:val="32"/>
        </w:rPr>
      </w:pPr>
    </w:p>
    <w:p w14:paraId="7FAFC43A" w14:textId="77777777" w:rsidR="0045637B" w:rsidRDefault="0045637B" w:rsidP="0045637B">
      <w:pPr>
        <w:jc w:val="center"/>
      </w:pPr>
      <w:r>
        <w:t xml:space="preserve">ČESKÁ REPUBLIKA </w:t>
      </w:r>
    </w:p>
    <w:p w14:paraId="1507D371" w14:textId="77777777" w:rsidR="0045637B" w:rsidRDefault="0045637B" w:rsidP="0045637B">
      <w:pPr>
        <w:jc w:val="center"/>
        <w:rPr>
          <w:sz w:val="32"/>
        </w:rPr>
      </w:pPr>
      <w:r>
        <w:rPr>
          <w:sz w:val="32"/>
        </w:rPr>
        <w:tab/>
      </w:r>
    </w:p>
    <w:p w14:paraId="68475EF4" w14:textId="77777777" w:rsidR="0045637B" w:rsidRDefault="0045637B" w:rsidP="0045637B">
      <w:pPr>
        <w:pStyle w:val="Nadpis3"/>
        <w:jc w:val="center"/>
        <w:rPr>
          <w:sz w:val="32"/>
          <w:szCs w:val="32"/>
        </w:rPr>
      </w:pPr>
      <w:r>
        <w:rPr>
          <w:sz w:val="32"/>
          <w:szCs w:val="32"/>
        </w:rPr>
        <w:t>ROZSUDEK</w:t>
      </w:r>
    </w:p>
    <w:p w14:paraId="1512ACBB" w14:textId="77777777" w:rsidR="0045637B" w:rsidRDefault="0045637B" w:rsidP="0045637B">
      <w:pPr>
        <w:pStyle w:val="Nadpis3"/>
        <w:jc w:val="center"/>
        <w:rPr>
          <w:sz w:val="32"/>
          <w:szCs w:val="32"/>
        </w:rPr>
      </w:pPr>
      <w:r>
        <w:rPr>
          <w:sz w:val="32"/>
          <w:szCs w:val="32"/>
        </w:rPr>
        <w:t>JMÉNEM REPUBLIKY</w:t>
      </w:r>
    </w:p>
    <w:p w14:paraId="08793F9A" w14:textId="77777777" w:rsidR="0045637B" w:rsidRDefault="0045637B" w:rsidP="0045637B">
      <w:pPr>
        <w:pStyle w:val="Rozsudek"/>
        <w:jc w:val="center"/>
      </w:pPr>
    </w:p>
    <w:p w14:paraId="2E89BD3B" w14:textId="77777777" w:rsidR="0045637B" w:rsidRDefault="0045637B" w:rsidP="0045637B">
      <w:pPr>
        <w:pStyle w:val="Rozsudek"/>
        <w:jc w:val="center"/>
      </w:pPr>
    </w:p>
    <w:p w14:paraId="752D4271" w14:textId="77777777" w:rsidR="0045637B" w:rsidRDefault="0045637B" w:rsidP="0045637B">
      <w:pPr>
        <w:pStyle w:val="Rozsudek"/>
        <w:jc w:val="center"/>
      </w:pPr>
    </w:p>
    <w:p w14:paraId="645AEA3A" w14:textId="77777777" w:rsidR="0045637B" w:rsidRDefault="0045637B" w:rsidP="0045637B">
      <w:pPr>
        <w:jc w:val="center"/>
        <w:rPr>
          <w:b/>
          <w:bCs/>
        </w:rPr>
      </w:pPr>
    </w:p>
    <w:p w14:paraId="0ED8929B" w14:textId="77777777" w:rsidR="0045637B" w:rsidRDefault="0045637B" w:rsidP="0045637B">
      <w:pPr>
        <w:jc w:val="center"/>
        <w:rPr>
          <w:b/>
          <w:bCs/>
        </w:rPr>
      </w:pPr>
    </w:p>
    <w:p w14:paraId="257D0E7D" w14:textId="77777777" w:rsidR="0045637B" w:rsidRPr="00DE7C5E" w:rsidRDefault="0045637B" w:rsidP="0045637B">
      <w:pPr>
        <w:tabs>
          <w:tab w:val="left" w:pos="284"/>
        </w:tabs>
        <w:spacing w:line="360" w:lineRule="auto"/>
        <w:jc w:val="both"/>
      </w:pPr>
      <w:r>
        <w:rPr>
          <w:b/>
          <w:bCs/>
        </w:rPr>
        <w:tab/>
      </w:r>
      <w:r w:rsidRPr="00DE7C5E">
        <w:t>Krajský soud v B</w:t>
      </w:r>
      <w:r>
        <w:t xml:space="preserve">rně, pobočka ve Zlíně, rozhodl po provedeném hlavním líčení </w:t>
      </w:r>
      <w:r w:rsidRPr="00DE7C5E">
        <w:t>dne</w:t>
      </w:r>
      <w:r>
        <w:t xml:space="preserve"> 22. srpna 2016 </w:t>
      </w:r>
      <w:r w:rsidRPr="00DE7C5E">
        <w:t>v senátě složeném z předsedy senátu JUDr. R</w:t>
      </w:r>
      <w:r>
        <w:t>adomíra Koudely a přísedících Ing. Miroslavy Motyčkové a Ing. Jiřího Stodůlky</w:t>
      </w:r>
    </w:p>
    <w:p w14:paraId="49A1A481" w14:textId="77777777" w:rsidR="0045637B" w:rsidRPr="00DE7C5E" w:rsidRDefault="0045637B" w:rsidP="0045637B">
      <w:pPr>
        <w:spacing w:line="360" w:lineRule="auto"/>
        <w:jc w:val="both"/>
      </w:pPr>
    </w:p>
    <w:p w14:paraId="5930D38F" w14:textId="77777777" w:rsidR="0045637B" w:rsidRDefault="0045637B" w:rsidP="0045637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 a k t </w:t>
      </w:r>
      <w:proofErr w:type="gramStart"/>
      <w:r>
        <w:rPr>
          <w:b/>
          <w:bCs/>
          <w:sz w:val="28"/>
          <w:szCs w:val="28"/>
        </w:rPr>
        <w:t>o :</w:t>
      </w:r>
      <w:proofErr w:type="gramEnd"/>
    </w:p>
    <w:p w14:paraId="413107F7" w14:textId="77777777" w:rsidR="0045637B" w:rsidRPr="00DE7C5E" w:rsidRDefault="0045637B" w:rsidP="0045637B"/>
    <w:p w14:paraId="110B619B" w14:textId="77777777" w:rsidR="0045637B" w:rsidRPr="00DE7C5E" w:rsidRDefault="0045637B" w:rsidP="0045637B">
      <w:pPr>
        <w:jc w:val="both"/>
        <w:rPr>
          <w:bCs/>
        </w:rPr>
      </w:pPr>
    </w:p>
    <w:p w14:paraId="7CAC26BC" w14:textId="77777777" w:rsidR="0045637B" w:rsidRPr="009912F5" w:rsidRDefault="0045637B" w:rsidP="0045637B">
      <w:pPr>
        <w:jc w:val="both"/>
      </w:pPr>
      <w:r w:rsidRPr="009912F5">
        <w:t>Obžalovaní</w:t>
      </w:r>
    </w:p>
    <w:p w14:paraId="7356F9AC" w14:textId="71A9D319" w:rsidR="0045637B" w:rsidRPr="0090160F" w:rsidRDefault="00F14206" w:rsidP="004563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T.</w:t>
      </w:r>
      <w:r w:rsidR="0045637B" w:rsidRPr="0090160F">
        <w:rPr>
          <w:b/>
          <w:bCs/>
          <w:sz w:val="28"/>
          <w:szCs w:val="28"/>
        </w:rPr>
        <w:t xml:space="preserve">   R</w:t>
      </w:r>
      <w:r>
        <w:rPr>
          <w:b/>
          <w:bCs/>
          <w:sz w:val="28"/>
          <w:szCs w:val="28"/>
        </w:rPr>
        <w:t>.</w:t>
      </w:r>
      <w:r w:rsidR="0045637B" w:rsidRPr="0090160F">
        <w:rPr>
          <w:b/>
          <w:bCs/>
          <w:sz w:val="28"/>
          <w:szCs w:val="28"/>
        </w:rPr>
        <w:t>,</w:t>
      </w:r>
    </w:p>
    <w:p w14:paraId="6AB53398" w14:textId="77777777" w:rsidR="0045637B" w:rsidRPr="009912F5" w:rsidRDefault="0045637B" w:rsidP="0045637B">
      <w:pPr>
        <w:jc w:val="center"/>
        <w:rPr>
          <w:bCs/>
        </w:rPr>
      </w:pPr>
    </w:p>
    <w:p w14:paraId="44892EA7" w14:textId="71DB0E56" w:rsidR="0045637B" w:rsidRPr="009912F5" w:rsidRDefault="0045637B" w:rsidP="0045637B">
      <w:pPr>
        <w:jc w:val="both"/>
        <w:rPr>
          <w:bCs/>
        </w:rPr>
      </w:pPr>
      <w:r w:rsidRPr="009912F5">
        <w:rPr>
          <w:bCs/>
        </w:rPr>
        <w:t xml:space="preserve">nar. </w:t>
      </w:r>
      <w:r w:rsidR="001A012E">
        <w:rPr>
          <w:bCs/>
        </w:rPr>
        <w:t>XXXXX</w:t>
      </w:r>
      <w:r w:rsidRPr="009912F5">
        <w:rPr>
          <w:bCs/>
        </w:rPr>
        <w:t xml:space="preserve">, ve </w:t>
      </w:r>
      <w:r w:rsidR="001A012E">
        <w:rPr>
          <w:bCs/>
        </w:rPr>
        <w:t>XXXXX</w:t>
      </w:r>
      <w:r>
        <w:rPr>
          <w:bCs/>
        </w:rPr>
        <w:t xml:space="preserve">, </w:t>
      </w:r>
      <w:r w:rsidR="001A012E">
        <w:rPr>
          <w:bCs/>
        </w:rPr>
        <w:t>XXXXX</w:t>
      </w:r>
      <w:r>
        <w:rPr>
          <w:bCs/>
        </w:rPr>
        <w:t>, občan</w:t>
      </w:r>
      <w:r w:rsidRPr="009912F5">
        <w:rPr>
          <w:bCs/>
        </w:rPr>
        <w:t xml:space="preserve"> Slovenské republiky, trvale bytem </w:t>
      </w:r>
      <w:r w:rsidR="001A012E">
        <w:rPr>
          <w:bCs/>
        </w:rPr>
        <w:t>XXXXX</w:t>
      </w:r>
      <w:r w:rsidRPr="006F05DD">
        <w:rPr>
          <w:bCs/>
        </w:rPr>
        <w:t xml:space="preserve">, </w:t>
      </w:r>
      <w:r w:rsidR="001A012E">
        <w:rPr>
          <w:bCs/>
        </w:rPr>
        <w:t>XXXXX</w:t>
      </w:r>
      <w:r w:rsidRPr="006F05DD">
        <w:rPr>
          <w:bCs/>
        </w:rPr>
        <w:t xml:space="preserve">, </w:t>
      </w:r>
      <w:r w:rsidR="001A012E">
        <w:rPr>
          <w:bCs/>
        </w:rPr>
        <w:t>XXXXX</w:t>
      </w:r>
      <w:r w:rsidRPr="006F05DD">
        <w:rPr>
          <w:bCs/>
        </w:rPr>
        <w:t xml:space="preserve">, v současnosti bytem </w:t>
      </w:r>
      <w:r w:rsidR="001A012E">
        <w:rPr>
          <w:bCs/>
        </w:rPr>
        <w:t>XXXXX</w:t>
      </w:r>
      <w:r w:rsidRPr="006F05DD">
        <w:rPr>
          <w:bCs/>
        </w:rPr>
        <w:t xml:space="preserve">, </w:t>
      </w:r>
      <w:r w:rsidR="001A012E">
        <w:rPr>
          <w:bCs/>
        </w:rPr>
        <w:t>XXXXX</w:t>
      </w:r>
      <w:r w:rsidRPr="006F05DD">
        <w:rPr>
          <w:bCs/>
        </w:rPr>
        <w:t>.</w:t>
      </w:r>
    </w:p>
    <w:p w14:paraId="5DCF8DBD" w14:textId="77777777" w:rsidR="0045637B" w:rsidRDefault="0045637B" w:rsidP="0045637B">
      <w:pPr>
        <w:jc w:val="both"/>
        <w:rPr>
          <w:bCs/>
        </w:rPr>
      </w:pPr>
    </w:p>
    <w:p w14:paraId="7E7D7A07" w14:textId="77777777" w:rsidR="0045637B" w:rsidRDefault="0045637B" w:rsidP="0045637B">
      <w:pPr>
        <w:jc w:val="both"/>
        <w:rPr>
          <w:bCs/>
        </w:rPr>
      </w:pPr>
      <w:r>
        <w:rPr>
          <w:bCs/>
        </w:rPr>
        <w:t>a</w:t>
      </w:r>
    </w:p>
    <w:p w14:paraId="2EBF4DBD" w14:textId="77777777" w:rsidR="0045637B" w:rsidRPr="009912F5" w:rsidRDefault="0045637B" w:rsidP="0045637B">
      <w:pPr>
        <w:jc w:val="both"/>
        <w:rPr>
          <w:bCs/>
        </w:rPr>
      </w:pPr>
    </w:p>
    <w:p w14:paraId="7C16146A" w14:textId="0BBF26F1" w:rsidR="0045637B" w:rsidRPr="0090160F" w:rsidRDefault="00F14206" w:rsidP="004563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J.</w:t>
      </w:r>
      <w:r w:rsidR="0045637B" w:rsidRPr="0090160F">
        <w:rPr>
          <w:b/>
          <w:bCs/>
          <w:sz w:val="28"/>
          <w:szCs w:val="28"/>
        </w:rPr>
        <w:t xml:space="preserve">  K</w:t>
      </w:r>
      <w:r>
        <w:rPr>
          <w:b/>
          <w:bCs/>
          <w:sz w:val="28"/>
          <w:szCs w:val="28"/>
        </w:rPr>
        <w:t>.</w:t>
      </w:r>
      <w:r w:rsidR="0045637B" w:rsidRPr="0090160F">
        <w:rPr>
          <w:b/>
          <w:bCs/>
          <w:sz w:val="28"/>
          <w:szCs w:val="28"/>
        </w:rPr>
        <w:t>,</w:t>
      </w:r>
    </w:p>
    <w:p w14:paraId="761A0EA8" w14:textId="77777777" w:rsidR="0045637B" w:rsidRPr="009912F5" w:rsidRDefault="0045637B" w:rsidP="0045637B">
      <w:pPr>
        <w:jc w:val="center"/>
        <w:rPr>
          <w:bCs/>
        </w:rPr>
      </w:pPr>
    </w:p>
    <w:p w14:paraId="60B12F73" w14:textId="786D5D7E" w:rsidR="0045637B" w:rsidRPr="009912F5" w:rsidRDefault="0045637B" w:rsidP="0045637B">
      <w:pPr>
        <w:jc w:val="both"/>
        <w:rPr>
          <w:bCs/>
        </w:rPr>
      </w:pPr>
      <w:r w:rsidRPr="009912F5">
        <w:rPr>
          <w:bCs/>
        </w:rPr>
        <w:t xml:space="preserve">nar. </w:t>
      </w:r>
      <w:r w:rsidR="004A6F53">
        <w:rPr>
          <w:bCs/>
        </w:rPr>
        <w:t>XXXXX</w:t>
      </w:r>
      <w:r w:rsidRPr="009912F5">
        <w:rPr>
          <w:bCs/>
        </w:rPr>
        <w:t xml:space="preserve">, ve </w:t>
      </w:r>
      <w:r w:rsidR="001A012E">
        <w:rPr>
          <w:bCs/>
        </w:rPr>
        <w:t>XXXXX</w:t>
      </w:r>
      <w:r>
        <w:rPr>
          <w:bCs/>
        </w:rPr>
        <w:t xml:space="preserve">, </w:t>
      </w:r>
      <w:r w:rsidR="001A012E">
        <w:rPr>
          <w:bCs/>
        </w:rPr>
        <w:t>XXXXX</w:t>
      </w:r>
      <w:r>
        <w:rPr>
          <w:bCs/>
        </w:rPr>
        <w:t>, občan</w:t>
      </w:r>
      <w:r w:rsidRPr="009912F5">
        <w:rPr>
          <w:bCs/>
        </w:rPr>
        <w:t xml:space="preserve"> Slovenské republiky, trvale bytem </w:t>
      </w:r>
      <w:r w:rsidR="004A6F53">
        <w:rPr>
          <w:bCs/>
        </w:rPr>
        <w:t>XXXXX</w:t>
      </w:r>
      <w:r w:rsidRPr="009912F5">
        <w:rPr>
          <w:bCs/>
        </w:rPr>
        <w:t>,</w:t>
      </w:r>
    </w:p>
    <w:p w14:paraId="087648B0" w14:textId="77777777" w:rsidR="0045637B" w:rsidRDefault="0045637B" w:rsidP="0045637B">
      <w:pPr>
        <w:jc w:val="both"/>
        <w:rPr>
          <w:bCs/>
        </w:rPr>
      </w:pPr>
    </w:p>
    <w:p w14:paraId="3CCF4FB8" w14:textId="77777777" w:rsidR="0045637B" w:rsidRDefault="0045637B" w:rsidP="0045637B">
      <w:pPr>
        <w:jc w:val="both"/>
        <w:rPr>
          <w:bCs/>
        </w:rPr>
      </w:pPr>
    </w:p>
    <w:p w14:paraId="78322021" w14:textId="77777777" w:rsidR="0045637B" w:rsidRPr="0090160F" w:rsidRDefault="0045637B" w:rsidP="0045637B">
      <w:pPr>
        <w:jc w:val="center"/>
        <w:rPr>
          <w:b/>
          <w:bCs/>
          <w:sz w:val="28"/>
          <w:szCs w:val="28"/>
        </w:rPr>
      </w:pPr>
      <w:r w:rsidRPr="0090160F">
        <w:rPr>
          <w:b/>
          <w:bCs/>
          <w:sz w:val="28"/>
          <w:szCs w:val="28"/>
        </w:rPr>
        <w:t xml:space="preserve">u z n á v a j í   s e   v i n </w:t>
      </w:r>
      <w:proofErr w:type="spellStart"/>
      <w:r w:rsidRPr="0090160F">
        <w:rPr>
          <w:b/>
          <w:bCs/>
          <w:sz w:val="28"/>
          <w:szCs w:val="28"/>
        </w:rPr>
        <w:t>n</w:t>
      </w:r>
      <w:proofErr w:type="spellEnd"/>
      <w:r w:rsidRPr="0090160F">
        <w:rPr>
          <w:b/>
          <w:bCs/>
          <w:sz w:val="28"/>
          <w:szCs w:val="28"/>
        </w:rPr>
        <w:t xml:space="preserve"> ý m i</w:t>
      </w:r>
    </w:p>
    <w:p w14:paraId="36078D79" w14:textId="77777777" w:rsidR="0045637B" w:rsidRPr="009912F5" w:rsidRDefault="0045637B" w:rsidP="0045637B">
      <w:pPr>
        <w:jc w:val="both"/>
        <w:rPr>
          <w:bCs/>
        </w:rPr>
      </w:pPr>
    </w:p>
    <w:p w14:paraId="5ACB1B9E" w14:textId="77777777" w:rsidR="0045637B" w:rsidRPr="0090160F" w:rsidRDefault="0045637B" w:rsidP="0045637B">
      <w:pPr>
        <w:jc w:val="both"/>
        <w:rPr>
          <w:bCs/>
        </w:rPr>
      </w:pPr>
      <w:r w:rsidRPr="0090160F">
        <w:rPr>
          <w:bCs/>
        </w:rPr>
        <w:lastRenderedPageBreak/>
        <w:t>že</w:t>
      </w:r>
    </w:p>
    <w:p w14:paraId="3CEF733C" w14:textId="77777777" w:rsidR="0045637B" w:rsidRPr="009912F5" w:rsidRDefault="0045637B" w:rsidP="0045637B">
      <w:pPr>
        <w:numPr>
          <w:ilvl w:val="0"/>
          <w:numId w:val="2"/>
        </w:numPr>
        <w:suppressAutoHyphens/>
        <w:jc w:val="both"/>
      </w:pPr>
      <w:r w:rsidRPr="009912F5">
        <w:t>v době kolem 03:50 hodin dne 11. 11. 2012 v Kunovicích, okres Uherské Hradiště</w:t>
      </w:r>
      <w:r>
        <w:t>, na </w:t>
      </w:r>
      <w:r w:rsidRPr="009912F5">
        <w:t>Třídě Vítězství č. p. 841, po předchozí vzájemné domluvě na odcizení finanční hotovosti z bankomatu umístěného v budově obchodního domu Albert Hypermarket násilně odstranili plechové krytí a izolaci levé obvodové zdi tohoto objektu</w:t>
      </w:r>
      <w:r>
        <w:t>, a to na </w:t>
      </w:r>
      <w:r w:rsidRPr="009912F5">
        <w:t xml:space="preserve">dvou místech 1 m za levým rohem budovy na plochách o rozměrech 80x65 cm a 60x70 cm, a pokračovali v bourání děr do cihlové zdi tohoto objektu, za kterou se nacházela místnost s bankomatem České spořitelny, a. s., ve kterém se v době vloupání nacházela finanční hotovost ve výši 2.366.000 Kč, kdy takto udělali do zdi dvě díry o rozměrech 35x40 cm 10x20 cm, přičemž z důvodu, že při poškození stěny místnosti se spustilo zabezpečovací zařízení vnitřních prostor, z místa činu utekli, poškozením boční stěny obchodního domu Albert Hypermarket však způsobili společnosti AHOLD Czech </w:t>
      </w:r>
      <w:proofErr w:type="spellStart"/>
      <w:r w:rsidRPr="009912F5">
        <w:t>republic</w:t>
      </w:r>
      <w:proofErr w:type="spellEnd"/>
      <w:r w:rsidRPr="009912F5">
        <w:t xml:space="preserve">, a. s., se sídlem Brno, ul. Slavíčkova č. p. 1A, IČO: 44012373, škodu ve výši nejméně 15.000 Kč, </w:t>
      </w:r>
    </w:p>
    <w:p w14:paraId="4924A1C8" w14:textId="77777777" w:rsidR="0045637B" w:rsidRPr="009912F5" w:rsidRDefault="0045637B" w:rsidP="0045637B">
      <w:pPr>
        <w:ind w:left="720"/>
        <w:jc w:val="both"/>
      </w:pPr>
    </w:p>
    <w:p w14:paraId="1D5F5F75" w14:textId="77777777" w:rsidR="0045637B" w:rsidRPr="009912F5" w:rsidRDefault="0045637B" w:rsidP="0045637B">
      <w:pPr>
        <w:numPr>
          <w:ilvl w:val="0"/>
          <w:numId w:val="2"/>
        </w:numPr>
        <w:suppressAutoHyphens/>
        <w:jc w:val="both"/>
      </w:pPr>
      <w:r w:rsidRPr="009912F5">
        <w:t>v přesně nezjištěné době od 22:30 hodin dne 16. 11. 2012 do 08:15 hodin dne 17. 11. 2012 v Hodoníně, na ulici Konečná č. p. 4, p</w:t>
      </w:r>
      <w:r>
        <w:t>o předchozí vzájemné domluvě na </w:t>
      </w:r>
      <w:r w:rsidRPr="009912F5">
        <w:t>odcizení finanční hotovosti z bankomatu umístěného v budově obchodního domu Kaufland vnikli na střechu tohoto obchodního domu, po prořezání střešního pláště budovy vnikli do prostor třídírny a výkupny lah</w:t>
      </w:r>
      <w:r>
        <w:t>ví, kde se pokusili vniknout do </w:t>
      </w:r>
      <w:r w:rsidRPr="009912F5">
        <w:t xml:space="preserve">bankomatu typu Pro Cash 2150 společnosti KBC </w:t>
      </w:r>
      <w:proofErr w:type="spellStart"/>
      <w:r w:rsidRPr="009912F5">
        <w:t>Global</w:t>
      </w:r>
      <w:proofErr w:type="spellEnd"/>
      <w:r w:rsidRPr="009912F5">
        <w:t xml:space="preserve"> </w:t>
      </w:r>
      <w:proofErr w:type="spellStart"/>
      <w:r w:rsidRPr="009912F5">
        <w:t>Services</w:t>
      </w:r>
      <w:proofErr w:type="spellEnd"/>
      <w:r w:rsidRPr="009912F5">
        <w:t xml:space="preserve"> Czech </w:t>
      </w:r>
      <w:proofErr w:type="spellStart"/>
      <w:r w:rsidRPr="009912F5">
        <w:t>Branch</w:t>
      </w:r>
      <w:proofErr w:type="spellEnd"/>
      <w:r w:rsidRPr="009912F5">
        <w:t xml:space="preserve">, organizační složka, ve kterém se v době vloupání nacházela finanční hotovost ve výši 2.313.200 Kč společnosti Československá obchodní banka, a. s., kdy na tomto bankomatu za pomoci přinesené úhlové brusky a rozbrušovacího kotouče uřezali panty zadních dveří a dále tyto dveře poškodili, ale vzhledem k tomu, že ani poté se jim nepodařilo bankomat otevřít, svého jednání zanechali a místo činu opustili, poškozením střechy budovy však společnosti Kaufland Česká republika, v. o. s., se sídlem Praha 4, ul. Pod Višňovkou č. p. 1662/25, IČO: 25110161, způsobili </w:t>
      </w:r>
      <w:r>
        <w:t>škodu ve </w:t>
      </w:r>
      <w:r w:rsidRPr="009912F5">
        <w:t xml:space="preserve">výši nejméně 17.460 Kč a poškozením bankomatu další škodu společnosti KBC </w:t>
      </w:r>
      <w:proofErr w:type="spellStart"/>
      <w:r w:rsidRPr="009912F5">
        <w:t>Global</w:t>
      </w:r>
      <w:proofErr w:type="spellEnd"/>
      <w:r w:rsidRPr="009912F5">
        <w:t xml:space="preserve"> </w:t>
      </w:r>
      <w:proofErr w:type="spellStart"/>
      <w:r w:rsidRPr="009912F5">
        <w:t>Services</w:t>
      </w:r>
      <w:proofErr w:type="spellEnd"/>
      <w:r w:rsidRPr="009912F5">
        <w:t xml:space="preserve"> Czech </w:t>
      </w:r>
      <w:proofErr w:type="spellStart"/>
      <w:r w:rsidRPr="009912F5">
        <w:t>Branch</w:t>
      </w:r>
      <w:proofErr w:type="spellEnd"/>
      <w:r w:rsidRPr="009912F5">
        <w:t>, organizační složce, se sídlem Praha 5, ul. Radlická č. p. 333/150 IČO: 28516869, ve výši nejméně 250.000 Kč,</w:t>
      </w:r>
    </w:p>
    <w:p w14:paraId="6EDDD142" w14:textId="77777777" w:rsidR="0045637B" w:rsidRPr="009912F5" w:rsidRDefault="0045637B" w:rsidP="0045637B">
      <w:pPr>
        <w:pStyle w:val="Odstavecseseznamem"/>
      </w:pPr>
    </w:p>
    <w:p w14:paraId="4EB1D54D" w14:textId="77777777" w:rsidR="0045637B" w:rsidRPr="009912F5" w:rsidRDefault="0045637B" w:rsidP="0045637B">
      <w:pPr>
        <w:numPr>
          <w:ilvl w:val="0"/>
          <w:numId w:val="2"/>
        </w:numPr>
        <w:suppressAutoHyphens/>
        <w:jc w:val="both"/>
      </w:pPr>
      <w:r w:rsidRPr="009912F5">
        <w:t>v době kolem 1:15 hodin dne 27. 11. 2012 v Břeclavi – Poštorné, na ulici Hraniční č.</w:t>
      </w:r>
      <w:r>
        <w:t> </w:t>
      </w:r>
      <w:r w:rsidRPr="009912F5">
        <w:t>p. 1253, po předchozí vzájemné domluvě na odcizení finanční hotovosti z bankomatu umístěného v budově obchodního domu Albert Hypermarket ze zadní strany tohoto objektu vnikli na nákladovou rampu, odtud</w:t>
      </w:r>
      <w:r>
        <w:t xml:space="preserve"> po žebříku vylezli na </w:t>
      </w:r>
      <w:r w:rsidRPr="009912F5">
        <w:t>střechu, kde v pravém předním rohu střechy vyřezali otvor o rozměru 116</w:t>
      </w:r>
      <w:r>
        <w:t xml:space="preserve"> </w:t>
      </w:r>
      <w:r w:rsidRPr="009912F5">
        <w:t>x</w:t>
      </w:r>
      <w:r>
        <w:t xml:space="preserve"> </w:t>
      </w:r>
      <w:r w:rsidRPr="009912F5">
        <w:t xml:space="preserve">76 cm, poté vnikli do meziprostoru nad technickou místností, kde byl umístěn bankomat České spořitelny, a. s., ve kterém byla v době vloupání finanční hotovost ve výši 1.598.600 Kč, přičemž po zjištění, že strop nad místností s bankomatem je z betonu a nejsou schopni jej překonat, místo činu stejnou cestou opustili, přičemž poškozením střechy obchodního domu Albert Hypermarket způsobili společnosti AHOLD Czech </w:t>
      </w:r>
      <w:proofErr w:type="spellStart"/>
      <w:r w:rsidRPr="009912F5">
        <w:t>republic</w:t>
      </w:r>
      <w:proofErr w:type="spellEnd"/>
      <w:r w:rsidRPr="009912F5">
        <w:t>, a. s., se sídlem Brno, ul. Slavíčkova č. p. 1A, IČO: 44012373, škodu ve výši nejméně 6.821 Kč,</w:t>
      </w:r>
    </w:p>
    <w:p w14:paraId="1750BC6C" w14:textId="77777777" w:rsidR="0045637B" w:rsidRPr="009912F5" w:rsidRDefault="0045637B" w:rsidP="0045637B">
      <w:pPr>
        <w:pStyle w:val="Odstavecseseznamem"/>
        <w:ind w:left="0"/>
      </w:pPr>
    </w:p>
    <w:p w14:paraId="0F593FB9" w14:textId="77777777" w:rsidR="0045637B" w:rsidRPr="009912F5" w:rsidRDefault="0045637B" w:rsidP="0045637B">
      <w:pPr>
        <w:pStyle w:val="Odstavecseseznamem"/>
        <w:ind w:left="0"/>
        <w:jc w:val="both"/>
      </w:pPr>
      <w:r w:rsidRPr="009912F5">
        <w:lastRenderedPageBreak/>
        <w:t>shora popsaným jednáním se tak pokusili odcizit z jednotlivých bankomatů finanční prostředky v celkové výši 6.277.800 Kč a současně tímto jednáním způsobili poškozením a zničením věcí škodu v celkové výši 289.281 Kč,</w:t>
      </w:r>
    </w:p>
    <w:p w14:paraId="6DEE506E" w14:textId="77777777" w:rsidR="0045637B" w:rsidRDefault="0045637B" w:rsidP="0045637B">
      <w:pPr>
        <w:jc w:val="both"/>
      </w:pPr>
    </w:p>
    <w:p w14:paraId="6A907CF3" w14:textId="77777777" w:rsidR="0045637B" w:rsidRPr="009912F5" w:rsidRDefault="0045637B" w:rsidP="0045637B">
      <w:pPr>
        <w:jc w:val="both"/>
      </w:pPr>
    </w:p>
    <w:p w14:paraId="4416732F" w14:textId="77777777" w:rsidR="0045637B" w:rsidRPr="0090160F" w:rsidRDefault="0045637B" w:rsidP="0045637B">
      <w:pPr>
        <w:pStyle w:val="Zkladntext"/>
        <w:ind w:left="1416" w:hanging="1416"/>
        <w:rPr>
          <w:bCs/>
          <w:sz w:val="28"/>
          <w:szCs w:val="28"/>
        </w:rPr>
      </w:pPr>
      <w:r w:rsidRPr="0090160F">
        <w:rPr>
          <w:bCs/>
          <w:sz w:val="28"/>
          <w:szCs w:val="28"/>
        </w:rPr>
        <w:t>t</w:t>
      </w:r>
      <w:r w:rsidRPr="0090160F">
        <w:rPr>
          <w:rFonts w:eastAsia="Arial"/>
          <w:bCs/>
          <w:sz w:val="28"/>
          <w:szCs w:val="28"/>
        </w:rPr>
        <w:t xml:space="preserve"> </w:t>
      </w:r>
      <w:r w:rsidRPr="0090160F">
        <w:rPr>
          <w:bCs/>
          <w:sz w:val="28"/>
          <w:szCs w:val="28"/>
        </w:rPr>
        <w:t>e</w:t>
      </w:r>
      <w:r w:rsidRPr="0090160F">
        <w:rPr>
          <w:rFonts w:eastAsia="Arial"/>
          <w:bCs/>
          <w:sz w:val="28"/>
          <w:szCs w:val="28"/>
        </w:rPr>
        <w:t xml:space="preserve"> </w:t>
      </w:r>
      <w:r w:rsidRPr="0090160F">
        <w:rPr>
          <w:bCs/>
          <w:sz w:val="28"/>
          <w:szCs w:val="28"/>
        </w:rPr>
        <w:t>d</w:t>
      </w:r>
      <w:r w:rsidRPr="0090160F">
        <w:rPr>
          <w:rFonts w:eastAsia="Arial"/>
          <w:bCs/>
          <w:sz w:val="28"/>
          <w:szCs w:val="28"/>
        </w:rPr>
        <w:t xml:space="preserve"> </w:t>
      </w:r>
      <w:proofErr w:type="gramStart"/>
      <w:r w:rsidRPr="0090160F">
        <w:rPr>
          <w:bCs/>
          <w:sz w:val="28"/>
          <w:szCs w:val="28"/>
        </w:rPr>
        <w:t>y</w:t>
      </w:r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ab/>
      </w:r>
      <w:r w:rsidRPr="009912F5">
        <w:t>společným jednáním se dopustili jednání, které bezprostředně směřovalo k tomu, že si přisvojí cizí věci tím, že se jich zmocní, čin spách</w:t>
      </w:r>
      <w:r>
        <w:t>ají vloupáním, a způsobí tak na </w:t>
      </w:r>
      <w:r w:rsidRPr="009912F5">
        <w:t>cizím majetku škodu velkého rozsahu, přičemž k dokonání trestného činu nedošlo,</w:t>
      </w:r>
    </w:p>
    <w:p w14:paraId="2C4DA40C" w14:textId="77777777" w:rsidR="0045637B" w:rsidRPr="009912F5" w:rsidRDefault="0045637B" w:rsidP="0045637B">
      <w:pPr>
        <w:suppressAutoHyphens/>
        <w:ind w:left="1416"/>
        <w:jc w:val="both"/>
      </w:pPr>
      <w:r w:rsidRPr="009912F5">
        <w:t xml:space="preserve">společným jednáním poškodili, zničili a učinili neupotřebitelnými cizí věci a způsobili tak na cizím majetku škodu nikoli nepatrnou, </w:t>
      </w:r>
    </w:p>
    <w:p w14:paraId="399B2F42" w14:textId="77777777" w:rsidR="0045637B" w:rsidRDefault="0045637B" w:rsidP="0045637B">
      <w:pPr>
        <w:ind w:left="720"/>
        <w:jc w:val="both"/>
      </w:pPr>
    </w:p>
    <w:p w14:paraId="1170DB15" w14:textId="77777777" w:rsidR="0045637B" w:rsidRPr="009912F5" w:rsidRDefault="0045637B" w:rsidP="0045637B">
      <w:pPr>
        <w:ind w:left="720"/>
        <w:jc w:val="both"/>
      </w:pPr>
    </w:p>
    <w:p w14:paraId="319181E2" w14:textId="77777777" w:rsidR="0045637B" w:rsidRPr="0090160F" w:rsidRDefault="0045637B" w:rsidP="0045637B">
      <w:pPr>
        <w:pStyle w:val="Zkladntext"/>
        <w:jc w:val="center"/>
        <w:rPr>
          <w:b/>
          <w:bCs/>
          <w:sz w:val="28"/>
          <w:szCs w:val="28"/>
        </w:rPr>
      </w:pPr>
      <w:r w:rsidRPr="0090160F">
        <w:rPr>
          <w:b/>
          <w:bCs/>
          <w:sz w:val="28"/>
          <w:szCs w:val="28"/>
        </w:rPr>
        <w:t xml:space="preserve">č í m ž  </w:t>
      </w:r>
      <w:r w:rsidRPr="0090160F">
        <w:rPr>
          <w:rFonts w:eastAsia="Arial"/>
          <w:b/>
          <w:bCs/>
          <w:sz w:val="28"/>
          <w:szCs w:val="28"/>
        </w:rPr>
        <w:t xml:space="preserve"> </w:t>
      </w:r>
      <w:r w:rsidRPr="0090160F">
        <w:rPr>
          <w:b/>
          <w:bCs/>
          <w:sz w:val="28"/>
          <w:szCs w:val="28"/>
        </w:rPr>
        <w:t>s p á c h a l i</w:t>
      </w:r>
    </w:p>
    <w:p w14:paraId="363078FE" w14:textId="77777777" w:rsidR="0045637B" w:rsidRPr="009912F5" w:rsidRDefault="0045637B" w:rsidP="0045637B">
      <w:pPr>
        <w:jc w:val="both"/>
        <w:rPr>
          <w:b/>
        </w:rPr>
      </w:pPr>
    </w:p>
    <w:p w14:paraId="7C9E8375" w14:textId="77777777" w:rsidR="0045637B" w:rsidRPr="009912F5" w:rsidRDefault="0045637B" w:rsidP="0045637B">
      <w:pPr>
        <w:numPr>
          <w:ilvl w:val="0"/>
          <w:numId w:val="1"/>
        </w:numPr>
        <w:suppressAutoHyphens/>
        <w:spacing w:after="120"/>
        <w:ind w:left="714" w:hanging="357"/>
        <w:jc w:val="both"/>
        <w:rPr>
          <w:rFonts w:eastAsia="Arial"/>
        </w:rPr>
      </w:pPr>
      <w:r w:rsidRPr="009912F5">
        <w:rPr>
          <w:rFonts w:eastAsia="Arial"/>
        </w:rPr>
        <w:t xml:space="preserve">zločin krádeže podle § 205 odst. 1 písm. b), odst. 5 písm. a) trestního zákoníku spáchaný ve stádiu pokusu podle § 21 odst. 1 trestního zákoníku formou spolupachatelství ve smyslu § 23 trestního zákoníku, </w:t>
      </w:r>
    </w:p>
    <w:p w14:paraId="682621E1" w14:textId="77777777" w:rsidR="0045637B" w:rsidRPr="009912F5" w:rsidRDefault="0045637B" w:rsidP="0045637B">
      <w:pPr>
        <w:numPr>
          <w:ilvl w:val="0"/>
          <w:numId w:val="1"/>
        </w:numPr>
        <w:suppressAutoHyphens/>
        <w:jc w:val="both"/>
        <w:rPr>
          <w:rFonts w:eastAsia="Arial"/>
        </w:rPr>
      </w:pPr>
      <w:r w:rsidRPr="009912F5">
        <w:rPr>
          <w:rFonts w:eastAsia="Arial"/>
        </w:rPr>
        <w:t xml:space="preserve">přečin poškození cizí věci podle § 228 odst. 1 trestního zákoníku formou spolupachatelství ve smyslu § 23 trestního zákoníku. </w:t>
      </w:r>
    </w:p>
    <w:p w14:paraId="19EE90AE" w14:textId="77777777" w:rsidR="0045637B" w:rsidRDefault="0045637B" w:rsidP="0045637B">
      <w:pPr>
        <w:jc w:val="both"/>
      </w:pPr>
    </w:p>
    <w:p w14:paraId="703111D0" w14:textId="77777777" w:rsidR="0045637B" w:rsidRDefault="0045637B" w:rsidP="0045637B">
      <w:pPr>
        <w:jc w:val="both"/>
      </w:pPr>
    </w:p>
    <w:p w14:paraId="25855804" w14:textId="77777777" w:rsidR="0045637B" w:rsidRPr="0043306C" w:rsidRDefault="0045637B" w:rsidP="0045637B">
      <w:pPr>
        <w:pStyle w:val="Zkladntext"/>
        <w:jc w:val="center"/>
        <w:rPr>
          <w:b/>
          <w:sz w:val="28"/>
          <w:szCs w:val="28"/>
        </w:rPr>
      </w:pPr>
      <w:r w:rsidRPr="0043306C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a   t o   s e   o d s u z u j í</w:t>
      </w:r>
    </w:p>
    <w:p w14:paraId="078E6A3F" w14:textId="77777777" w:rsidR="0045637B" w:rsidRDefault="0045637B" w:rsidP="0045637B">
      <w:pPr>
        <w:jc w:val="both"/>
      </w:pPr>
    </w:p>
    <w:p w14:paraId="7D8EAFBA" w14:textId="77777777" w:rsidR="0045637B" w:rsidRDefault="0045637B" w:rsidP="0045637B">
      <w:pPr>
        <w:jc w:val="both"/>
      </w:pPr>
    </w:p>
    <w:p w14:paraId="65F85F4A" w14:textId="66D08783" w:rsidR="0045637B" w:rsidRPr="00B41A24" w:rsidRDefault="0045637B" w:rsidP="0045637B">
      <w:pPr>
        <w:jc w:val="both"/>
        <w:rPr>
          <w:b/>
        </w:rPr>
      </w:pPr>
      <w:r w:rsidRPr="00B41A24">
        <w:rPr>
          <w:b/>
        </w:rPr>
        <w:t xml:space="preserve">Obžalovaný </w:t>
      </w:r>
      <w:r w:rsidR="00F14206">
        <w:rPr>
          <w:b/>
        </w:rPr>
        <w:t>T.</w:t>
      </w:r>
      <w:r w:rsidRPr="00B41A24">
        <w:rPr>
          <w:b/>
        </w:rPr>
        <w:t xml:space="preserve"> </w:t>
      </w:r>
      <w:r w:rsidR="00F14206">
        <w:rPr>
          <w:b/>
        </w:rPr>
        <w:t>R.</w:t>
      </w:r>
      <w:r w:rsidRPr="00B41A24">
        <w:rPr>
          <w:b/>
        </w:rPr>
        <w:t>:</w:t>
      </w:r>
    </w:p>
    <w:p w14:paraId="046C894E" w14:textId="77777777" w:rsidR="0045637B" w:rsidRPr="009912F5" w:rsidRDefault="0045637B" w:rsidP="0045637B">
      <w:pPr>
        <w:jc w:val="both"/>
      </w:pPr>
    </w:p>
    <w:p w14:paraId="52DC2CA2" w14:textId="77777777" w:rsidR="0045637B" w:rsidRDefault="0045637B" w:rsidP="0045637B">
      <w:pPr>
        <w:tabs>
          <w:tab w:val="left" w:pos="284"/>
        </w:tabs>
        <w:jc w:val="both"/>
      </w:pPr>
      <w:r>
        <w:t xml:space="preserve">Podle § 205 odst. 5 trestního zákoníku ve smyslu § 43 odst. 2 trestního zákoníku, § 58 odst. 1, odst. 3 písm. c) trestního zákoníku k souhrnnému trestu odnětí svobody </w:t>
      </w:r>
      <w:r w:rsidRPr="00B41A24">
        <w:rPr>
          <w:b/>
          <w:u w:val="single"/>
        </w:rPr>
        <w:t>v trvání 3 (tří) let</w:t>
      </w:r>
      <w:r>
        <w:t xml:space="preserve">, jehož výkon se podle § 81 odst. 1, § 84, § 85 odst. 1, vše trestního zákoníku, </w:t>
      </w:r>
      <w:r w:rsidRPr="00B41A24">
        <w:rPr>
          <w:u w:val="single"/>
        </w:rPr>
        <w:t>podmíněně od</w:t>
      </w:r>
      <w:r>
        <w:rPr>
          <w:u w:val="single"/>
        </w:rPr>
        <w:t xml:space="preserve">kládá na zkušební dobu v délce 4 (čtyř) </w:t>
      </w:r>
      <w:r w:rsidRPr="00806D2A">
        <w:rPr>
          <w:u w:val="single"/>
        </w:rPr>
        <w:t>let</w:t>
      </w:r>
      <w:r w:rsidRPr="00806D2A">
        <w:t xml:space="preserve"> a současně</w:t>
      </w:r>
      <w:r>
        <w:t xml:space="preserve"> se vyslovuje dohled v rozsahu §§ 49 až 51 trestního zákoníku.</w:t>
      </w:r>
    </w:p>
    <w:p w14:paraId="63A91EA3" w14:textId="77777777" w:rsidR="0045637B" w:rsidRDefault="0045637B" w:rsidP="0045637B">
      <w:pPr>
        <w:tabs>
          <w:tab w:val="left" w:pos="284"/>
        </w:tabs>
        <w:jc w:val="both"/>
      </w:pPr>
    </w:p>
    <w:p w14:paraId="6A09409C" w14:textId="77777777" w:rsidR="0045637B" w:rsidRDefault="0045637B" w:rsidP="0045637B">
      <w:pPr>
        <w:tabs>
          <w:tab w:val="left" w:pos="284"/>
        </w:tabs>
        <w:jc w:val="both"/>
      </w:pPr>
      <w:r>
        <w:t xml:space="preserve">Současně se zrušuje výrok o trestu, který byl obžalovanému uložen trestním příkazem Okresního soudu v Uherském Hradišti č. j. 26T 30/2014-68 vydaném dne 30. 5. 2014 doručenému dne 8. 7. 2014, který nabyl právní moci dne 17. 7. 2014, jakož i všechna další rozhodnutí na tento výrok obsahově navazující, pokud vzhledem ke změně, k níž došlo zrušením, pozbyla podkladu. </w:t>
      </w:r>
    </w:p>
    <w:p w14:paraId="00008202" w14:textId="77777777" w:rsidR="0045637B" w:rsidRDefault="0045637B" w:rsidP="0045637B">
      <w:pPr>
        <w:tabs>
          <w:tab w:val="left" w:pos="284"/>
        </w:tabs>
        <w:jc w:val="both"/>
      </w:pPr>
    </w:p>
    <w:p w14:paraId="2E883855" w14:textId="77777777" w:rsidR="0045637B" w:rsidRDefault="0045637B" w:rsidP="0045637B">
      <w:pPr>
        <w:tabs>
          <w:tab w:val="left" w:pos="284"/>
        </w:tabs>
        <w:jc w:val="both"/>
      </w:pPr>
      <w:r>
        <w:t xml:space="preserve">Podle § 70 odst. 2 písm. a) trestního zákoníku se obžalovanému ukládá trest propadnutí věci nebo jiné majetkové hodnoty, a sice pákové nůžky – kleště červené barvy, řetězový zvedák modré barvy, hliníková vysunovací nivelační tyč a 1 pár pracovních rukavic černé barvy. </w:t>
      </w:r>
    </w:p>
    <w:p w14:paraId="3AE5D1CC" w14:textId="77777777" w:rsidR="0045637B" w:rsidRDefault="0045637B" w:rsidP="0045637B">
      <w:pPr>
        <w:tabs>
          <w:tab w:val="left" w:pos="284"/>
        </w:tabs>
        <w:jc w:val="both"/>
      </w:pPr>
    </w:p>
    <w:p w14:paraId="1DAE5A39" w14:textId="77777777" w:rsidR="0045637B" w:rsidRDefault="0045637B" w:rsidP="0045637B">
      <w:pPr>
        <w:tabs>
          <w:tab w:val="left" w:pos="284"/>
        </w:tabs>
        <w:jc w:val="both"/>
      </w:pPr>
    </w:p>
    <w:p w14:paraId="44C811C0" w14:textId="03422223" w:rsidR="0045637B" w:rsidRPr="00B41A24" w:rsidRDefault="0045637B" w:rsidP="0045637B">
      <w:pPr>
        <w:tabs>
          <w:tab w:val="left" w:pos="284"/>
        </w:tabs>
        <w:jc w:val="both"/>
        <w:rPr>
          <w:b/>
        </w:rPr>
      </w:pPr>
      <w:r w:rsidRPr="00B41A24">
        <w:rPr>
          <w:b/>
        </w:rPr>
        <w:t xml:space="preserve">Obžalovaný </w:t>
      </w:r>
      <w:r w:rsidR="00F14206">
        <w:rPr>
          <w:b/>
        </w:rPr>
        <w:t>J.K.</w:t>
      </w:r>
      <w:r w:rsidRPr="00B41A24">
        <w:rPr>
          <w:b/>
        </w:rPr>
        <w:t>:</w:t>
      </w:r>
    </w:p>
    <w:p w14:paraId="4A5DD2CF" w14:textId="77777777" w:rsidR="0045637B" w:rsidRDefault="0045637B" w:rsidP="0045637B">
      <w:pPr>
        <w:tabs>
          <w:tab w:val="left" w:pos="284"/>
        </w:tabs>
        <w:jc w:val="both"/>
      </w:pPr>
    </w:p>
    <w:p w14:paraId="0C6D23CC" w14:textId="77777777" w:rsidR="0045637B" w:rsidRDefault="0045637B" w:rsidP="0045637B">
      <w:pPr>
        <w:tabs>
          <w:tab w:val="left" w:pos="284"/>
        </w:tabs>
        <w:jc w:val="both"/>
      </w:pPr>
      <w:r>
        <w:t xml:space="preserve">Podle § 205 odst. 5 trestního zákoníku ve smyslu § 43 odst. 1 trestního zákoníku, § 58 odst. 1, odst. 3 písm. c) trestního zákoníku k úhrnnému trestu odnětí svobody </w:t>
      </w:r>
      <w:r w:rsidRPr="00B41A24">
        <w:rPr>
          <w:b/>
          <w:u w:val="single"/>
        </w:rPr>
        <w:t>v trvání 3 (tří) let</w:t>
      </w:r>
      <w:r>
        <w:t xml:space="preserve">, jehož výkon se podle § 81 odst. 1, § 84, § 85 odst. 1, vše trestního zákoníku, </w:t>
      </w:r>
      <w:r w:rsidRPr="00B41A24">
        <w:rPr>
          <w:u w:val="single"/>
        </w:rPr>
        <w:t>podmíněně od</w:t>
      </w:r>
      <w:r>
        <w:rPr>
          <w:u w:val="single"/>
        </w:rPr>
        <w:t>kládá na zkušební dobu v délce 4 (čtyř)</w:t>
      </w:r>
      <w:r w:rsidRPr="00B41A24">
        <w:rPr>
          <w:u w:val="single"/>
        </w:rPr>
        <w:t xml:space="preserve"> let</w:t>
      </w:r>
      <w:r>
        <w:t xml:space="preserve"> a současně se vyslovuje dohled v rozsahu §§ 49 až 51 trestního zákoníku.</w:t>
      </w:r>
    </w:p>
    <w:p w14:paraId="5202FF5B" w14:textId="77777777" w:rsidR="0045637B" w:rsidRDefault="0045637B" w:rsidP="0045637B">
      <w:pPr>
        <w:tabs>
          <w:tab w:val="left" w:pos="284"/>
        </w:tabs>
        <w:jc w:val="both"/>
      </w:pPr>
    </w:p>
    <w:p w14:paraId="580B3361" w14:textId="77777777" w:rsidR="0045637B" w:rsidRDefault="0045637B" w:rsidP="0045637B">
      <w:pPr>
        <w:tabs>
          <w:tab w:val="left" w:pos="284"/>
        </w:tabs>
        <w:jc w:val="both"/>
      </w:pPr>
    </w:p>
    <w:p w14:paraId="40BEEA9A" w14:textId="5B7D3A9C" w:rsidR="0045637B" w:rsidRDefault="0045637B" w:rsidP="0045637B">
      <w:pPr>
        <w:tabs>
          <w:tab w:val="left" w:pos="284"/>
        </w:tabs>
        <w:jc w:val="both"/>
      </w:pPr>
      <w:r>
        <w:t xml:space="preserve">Podle § 228 odst. 1 trestního řádu jsou obžalovaní </w:t>
      </w:r>
      <w:r w:rsidR="00F14206">
        <w:t>T.</w:t>
      </w:r>
      <w:r>
        <w:t xml:space="preserve"> </w:t>
      </w:r>
      <w:r w:rsidR="00F14206">
        <w:t>R.</w:t>
      </w:r>
      <w:r>
        <w:t xml:space="preserve"> a </w:t>
      </w:r>
      <w:r w:rsidR="00F14206">
        <w:t>J.K.</w:t>
      </w:r>
      <w:r>
        <w:t xml:space="preserve"> povinni společně a nerozdílně zaplatit na náhradě škody poškozeným:</w:t>
      </w:r>
    </w:p>
    <w:p w14:paraId="773AF207" w14:textId="77777777" w:rsidR="0045637B" w:rsidRDefault="0045637B" w:rsidP="0045637B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Kaufland Česká republika, v. o. s., Praha 6, Bělohorská 2428/203, částku 8.730 Kč,</w:t>
      </w:r>
    </w:p>
    <w:p w14:paraId="2B63FFD0" w14:textId="77777777" w:rsidR="0045637B" w:rsidRDefault="0045637B" w:rsidP="0045637B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KBC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Servises</w:t>
      </w:r>
      <w:proofErr w:type="spellEnd"/>
      <w:r>
        <w:t xml:space="preserve"> N. V., Praha 5, Radlická 333/150, částku 250.000 Kč,</w:t>
      </w:r>
    </w:p>
    <w:p w14:paraId="36599F69" w14:textId="77777777" w:rsidR="0045637B" w:rsidRDefault="0045637B" w:rsidP="0045637B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Ahold Czech Republic, a. s., Praha 5, Radlická 117, částku 10.910 Kč.</w:t>
      </w:r>
    </w:p>
    <w:p w14:paraId="2745589C" w14:textId="77777777" w:rsidR="0045637B" w:rsidRDefault="0045637B" w:rsidP="0045637B">
      <w:pPr>
        <w:tabs>
          <w:tab w:val="left" w:pos="284"/>
        </w:tabs>
        <w:ind w:left="720"/>
        <w:jc w:val="both"/>
      </w:pPr>
    </w:p>
    <w:p w14:paraId="2A652DDE" w14:textId="77777777" w:rsidR="0045637B" w:rsidRDefault="0045637B" w:rsidP="0045637B">
      <w:pPr>
        <w:tabs>
          <w:tab w:val="left" w:pos="284"/>
        </w:tabs>
        <w:jc w:val="both"/>
      </w:pPr>
      <w:r>
        <w:t>Podle § 229 odst. 2 trestního řádu se poškození Kaufland Česká republika, v. o. s., KBC 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Servises</w:t>
      </w:r>
      <w:proofErr w:type="spellEnd"/>
      <w:r>
        <w:t xml:space="preserve"> N. V. a Ahold Czech Republic, a. s. odkazují se zbytkem svého nároku na náhradu škody na řízení ve věcech občanskoprávních. </w:t>
      </w:r>
    </w:p>
    <w:p w14:paraId="069D6549" w14:textId="77777777" w:rsidR="0045637B" w:rsidRDefault="0045637B" w:rsidP="0045637B"/>
    <w:p w14:paraId="5F434782" w14:textId="77777777" w:rsidR="0045637B" w:rsidRDefault="0045637B" w:rsidP="0045637B"/>
    <w:p w14:paraId="331B2397" w14:textId="77777777" w:rsidR="0045637B" w:rsidRDefault="0045637B" w:rsidP="00456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d ů v o d n ě n </w:t>
      </w:r>
      <w:proofErr w:type="gramStart"/>
      <w:r>
        <w:rPr>
          <w:b/>
          <w:sz w:val="28"/>
          <w:szCs w:val="28"/>
        </w:rPr>
        <w:t>í :</w:t>
      </w:r>
      <w:proofErr w:type="gramEnd"/>
    </w:p>
    <w:p w14:paraId="333117C5" w14:textId="77777777" w:rsidR="0045637B" w:rsidRDefault="0045637B" w:rsidP="0045637B">
      <w:pPr>
        <w:tabs>
          <w:tab w:val="left" w:pos="284"/>
        </w:tabs>
        <w:jc w:val="both"/>
      </w:pPr>
    </w:p>
    <w:p w14:paraId="7D69B814" w14:textId="77777777" w:rsidR="0045637B" w:rsidRDefault="0045637B" w:rsidP="0045637B">
      <w:pPr>
        <w:tabs>
          <w:tab w:val="left" w:pos="284"/>
        </w:tabs>
        <w:jc w:val="both"/>
      </w:pPr>
    </w:p>
    <w:p w14:paraId="5BC7DD76" w14:textId="77777777" w:rsidR="0045637B" w:rsidRDefault="0045637B" w:rsidP="0045637B">
      <w:pPr>
        <w:tabs>
          <w:tab w:val="left" w:pos="284"/>
        </w:tabs>
        <w:jc w:val="both"/>
      </w:pPr>
    </w:p>
    <w:p w14:paraId="1D87DDFF" w14:textId="77777777" w:rsidR="0045637B" w:rsidRDefault="0045637B" w:rsidP="0045637B">
      <w:pPr>
        <w:tabs>
          <w:tab w:val="left" w:pos="284"/>
        </w:tabs>
        <w:jc w:val="both"/>
      </w:pPr>
      <w:r>
        <w:tab/>
        <w:t xml:space="preserve">Podle § 129 odst. 2 trestního řádu částečně odpadá (kromě výroku o náhradě škody), protože oba obžalovaní a státní zástupce se vzdali práva odvolání a prohlásili, že netrvají na vyhotovení odůvodnění; obžalovaní zároveň prohlásili, že si nepřejí, aby v jejich prospěch podaly odvolání jiné oprávněné osoby. </w:t>
      </w:r>
    </w:p>
    <w:p w14:paraId="005C4938" w14:textId="77777777" w:rsidR="0045637B" w:rsidRDefault="0045637B" w:rsidP="0045637B">
      <w:pPr>
        <w:tabs>
          <w:tab w:val="left" w:pos="284"/>
        </w:tabs>
        <w:jc w:val="both"/>
      </w:pPr>
    </w:p>
    <w:p w14:paraId="6F71AB0E" w14:textId="77777777" w:rsidR="0045637B" w:rsidRDefault="0045637B" w:rsidP="0045637B">
      <w:pPr>
        <w:tabs>
          <w:tab w:val="left" w:pos="284"/>
        </w:tabs>
        <w:jc w:val="both"/>
      </w:pPr>
    </w:p>
    <w:p w14:paraId="76BC1D63" w14:textId="6F72D3A7" w:rsidR="0045637B" w:rsidRDefault="0045637B" w:rsidP="0045637B">
      <w:pPr>
        <w:tabs>
          <w:tab w:val="left" w:pos="284"/>
        </w:tabs>
        <w:jc w:val="both"/>
      </w:pPr>
      <w:r>
        <w:tab/>
        <w:t>Poškození, kteří jsou uvedeni ve výrokové části tohoto rozsudku, se řádně již v přípravném řízení připojili k adheznímu řízení a své škody vyčíslili. Při rozhodování o náhradě škody soud vycházel z jednoznačně prokázaných škod, které jsou nižší, než nároky poškozených Ahold Czech Republic a KBC</w:t>
      </w:r>
      <w:r w:rsidRPr="00DC57D3"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Servises</w:t>
      </w:r>
      <w:proofErr w:type="spellEnd"/>
      <w:r>
        <w:t xml:space="preserve"> N. V. Současně při rozhodování o výroku škody zohlednil částečně uhrazenou škodu ze strany obžalovaného </w:t>
      </w:r>
      <w:r w:rsidR="002F6040">
        <w:t xml:space="preserve">R. </w:t>
      </w:r>
      <w:r>
        <w:t xml:space="preserve">poškozeným Kaufland Česká republika a Ahold Czech Republic. Z těchto důvodů rozhodl tak, jak je uvedeno ve výrokové části tohoto rozsudku, poškozené společně a nerozdílně zavázal uhradit dané škody a se zbytkem nároků poškozené organizace odkázal na řízení ve věcech občanskoprávních. </w:t>
      </w:r>
    </w:p>
    <w:p w14:paraId="29C05D5F" w14:textId="77777777" w:rsidR="0045637B" w:rsidRDefault="0045637B" w:rsidP="0045637B">
      <w:pPr>
        <w:tabs>
          <w:tab w:val="left" w:pos="284"/>
        </w:tabs>
        <w:jc w:val="both"/>
      </w:pPr>
    </w:p>
    <w:p w14:paraId="53CAC979" w14:textId="77777777" w:rsidR="0045637B" w:rsidRDefault="0045637B" w:rsidP="0045637B">
      <w:pPr>
        <w:jc w:val="center"/>
        <w:rPr>
          <w:b/>
          <w:sz w:val="32"/>
          <w:szCs w:val="32"/>
        </w:rPr>
      </w:pPr>
    </w:p>
    <w:p w14:paraId="259FF722" w14:textId="77777777" w:rsidR="0045637B" w:rsidRPr="00F44A0A" w:rsidRDefault="0045637B" w:rsidP="0045637B">
      <w:pPr>
        <w:ind w:left="2268" w:hanging="2268"/>
        <w:jc w:val="both"/>
        <w:rPr>
          <w:sz w:val="23"/>
          <w:szCs w:val="23"/>
        </w:rPr>
      </w:pPr>
      <w:r>
        <w:rPr>
          <w:b/>
          <w:sz w:val="28"/>
          <w:szCs w:val="28"/>
        </w:rPr>
        <w:t xml:space="preserve">P O U Č E N </w:t>
      </w:r>
      <w:proofErr w:type="gramStart"/>
      <w:r>
        <w:rPr>
          <w:b/>
          <w:sz w:val="28"/>
          <w:szCs w:val="28"/>
        </w:rPr>
        <w:t>Í :</w:t>
      </w:r>
      <w:proofErr w:type="gramEnd"/>
      <w:r>
        <w:rPr>
          <w:sz w:val="23"/>
          <w:szCs w:val="23"/>
        </w:rPr>
        <w:tab/>
      </w:r>
      <w:r w:rsidRPr="00F44A0A">
        <w:t>Proti tomuto rozsudku lze podat odvolání do osmi dnů ode dne doručení jeho písemného vyhotovení ke Krajskému soudu v Brně, pobočka ve Zlíně.</w:t>
      </w:r>
    </w:p>
    <w:p w14:paraId="04D89478" w14:textId="77777777" w:rsidR="0045637B" w:rsidRPr="00F44A0A" w:rsidRDefault="0045637B" w:rsidP="0045637B">
      <w:pPr>
        <w:tabs>
          <w:tab w:val="left" w:pos="2268"/>
        </w:tabs>
        <w:ind w:left="36" w:hanging="36"/>
        <w:jc w:val="both"/>
      </w:pPr>
      <w:r>
        <w:tab/>
      </w:r>
      <w:r>
        <w:tab/>
      </w:r>
      <w:r w:rsidRPr="00F44A0A">
        <w:t>O odvolání rozhoduje Vrchní soud v Olomouci.</w:t>
      </w:r>
    </w:p>
    <w:p w14:paraId="03C46D27" w14:textId="77777777" w:rsidR="0045637B" w:rsidRPr="00F44A0A" w:rsidRDefault="0045637B" w:rsidP="0045637B">
      <w:pPr>
        <w:ind w:left="2268" w:right="-110" w:firstLine="9"/>
        <w:jc w:val="both"/>
      </w:pPr>
      <w:r w:rsidRPr="00F44A0A">
        <w:lastRenderedPageBreak/>
        <w:t>Rozsudek může odvoláním napadnout státní zástupce pro nesprávnost kteréhokoliv výroku</w:t>
      </w:r>
      <w:r>
        <w:t>,</w:t>
      </w:r>
      <w:r w:rsidRPr="00F44A0A">
        <w:t xml:space="preserve"> a obžalovaný pro nesprávnost výroku, který se ho přímo dotýká.</w:t>
      </w:r>
    </w:p>
    <w:p w14:paraId="219C356E" w14:textId="77777777" w:rsidR="0045637B" w:rsidRDefault="0045637B" w:rsidP="0045637B">
      <w:pPr>
        <w:ind w:left="2268" w:right="-110"/>
        <w:jc w:val="both"/>
      </w:pPr>
      <w:r w:rsidRPr="00F44A0A">
        <w:t>Poškozený může odvoláním rozsudek napadnout pro nesprávnost výroku o náhradě škody.</w:t>
      </w:r>
    </w:p>
    <w:p w14:paraId="00BA82A6" w14:textId="77777777" w:rsidR="0045637B" w:rsidRPr="00F44A0A" w:rsidRDefault="0045637B" w:rsidP="0045637B">
      <w:pPr>
        <w:ind w:left="2268" w:right="-110"/>
        <w:jc w:val="both"/>
      </w:pPr>
    </w:p>
    <w:p w14:paraId="0E32CAF0" w14:textId="77777777" w:rsidR="0045637B" w:rsidRDefault="0045637B" w:rsidP="0045637B">
      <w:pPr>
        <w:ind w:left="2268" w:right="-110"/>
        <w:jc w:val="both"/>
      </w:pPr>
      <w:r w:rsidRPr="00F44A0A">
        <w:t>Odvolání musí být do osmi dnů od doručení písemného vyhotovení rozsudku odůvodněno tak, aby bylo patrno, ve kterých výro</w:t>
      </w:r>
      <w:r>
        <w:t xml:space="preserve">cích je rozsudek napadán a jaké </w:t>
      </w:r>
      <w:r w:rsidRPr="00F44A0A">
        <w:t>vady jsou vytýkány rozsudku nebo řízení, které rozsudku předcházelo.</w:t>
      </w:r>
    </w:p>
    <w:p w14:paraId="4DA0083E" w14:textId="77777777" w:rsidR="0045637B" w:rsidRPr="00F44A0A" w:rsidRDefault="0045637B" w:rsidP="0045637B">
      <w:pPr>
        <w:ind w:left="2268" w:right="-110"/>
        <w:jc w:val="both"/>
      </w:pPr>
    </w:p>
    <w:p w14:paraId="0F691A91" w14:textId="77777777" w:rsidR="0045637B" w:rsidRPr="00F44A0A" w:rsidRDefault="0045637B" w:rsidP="0045637B">
      <w:pPr>
        <w:ind w:left="2268" w:right="-110"/>
        <w:jc w:val="both"/>
      </w:pPr>
      <w:r w:rsidRPr="00F44A0A">
        <w:t xml:space="preserve">Státní zástupce je povinen v odvolání uvést, zda jej podává, byť i zčásti, ve prospěch nebo </w:t>
      </w:r>
      <w:r>
        <w:t xml:space="preserve">v </w:t>
      </w:r>
      <w:r w:rsidRPr="00F44A0A">
        <w:t>neprospěch obžalovaného.</w:t>
      </w:r>
    </w:p>
    <w:p w14:paraId="4E2CD4FD" w14:textId="77777777" w:rsidR="0045637B" w:rsidRPr="00F44A0A" w:rsidRDefault="0045637B" w:rsidP="0045637B">
      <w:pPr>
        <w:jc w:val="both"/>
        <w:rPr>
          <w:b/>
        </w:rPr>
      </w:pPr>
    </w:p>
    <w:p w14:paraId="28F3BD1C" w14:textId="77777777" w:rsidR="0045637B" w:rsidRPr="00F44A0A" w:rsidRDefault="0045637B" w:rsidP="0045637B">
      <w:pPr>
        <w:jc w:val="both"/>
        <w:rPr>
          <w:b/>
        </w:rPr>
      </w:pPr>
    </w:p>
    <w:p w14:paraId="29AAB4CA" w14:textId="77777777" w:rsidR="0045637B" w:rsidRDefault="0045637B" w:rsidP="0045637B">
      <w:pPr>
        <w:jc w:val="center"/>
      </w:pPr>
      <w:r>
        <w:t xml:space="preserve">Krajský soud v Brně, pobočka ve Zlíně </w:t>
      </w:r>
    </w:p>
    <w:p w14:paraId="14E66627" w14:textId="77777777" w:rsidR="0045637B" w:rsidRDefault="0045637B" w:rsidP="0045637B">
      <w:pPr>
        <w:jc w:val="center"/>
      </w:pPr>
      <w:r>
        <w:t>dne 22. srpna 2016</w:t>
      </w:r>
    </w:p>
    <w:p w14:paraId="65E9A58E" w14:textId="77777777" w:rsidR="0045637B" w:rsidRDefault="0045637B" w:rsidP="0045637B">
      <w:pPr>
        <w:jc w:val="center"/>
      </w:pPr>
    </w:p>
    <w:p w14:paraId="4F812C0D" w14:textId="77777777" w:rsidR="0045637B" w:rsidRDefault="0045637B" w:rsidP="0045637B">
      <w:pPr>
        <w:jc w:val="center"/>
      </w:pPr>
    </w:p>
    <w:p w14:paraId="2983C50B" w14:textId="77777777" w:rsidR="0045637B" w:rsidRDefault="0045637B" w:rsidP="0045637B">
      <w:pPr>
        <w:jc w:val="center"/>
      </w:pPr>
    </w:p>
    <w:p w14:paraId="3F2AF410" w14:textId="77777777" w:rsidR="0045637B" w:rsidRDefault="0045637B" w:rsidP="0045637B">
      <w:pPr>
        <w:jc w:val="center"/>
      </w:pPr>
    </w:p>
    <w:p w14:paraId="6DE1E513" w14:textId="77777777" w:rsidR="0045637B" w:rsidRDefault="0045637B" w:rsidP="0045637B">
      <w:pPr>
        <w:tabs>
          <w:tab w:val="center" w:pos="6840"/>
        </w:tabs>
        <w:jc w:val="right"/>
      </w:pPr>
      <w:r>
        <w:t>JUDr. Radomír Koudela, v. r.</w:t>
      </w:r>
    </w:p>
    <w:p w14:paraId="0E1DECE3" w14:textId="77777777" w:rsidR="0045637B" w:rsidRDefault="0045637B" w:rsidP="0045637B">
      <w:pPr>
        <w:tabs>
          <w:tab w:val="center" w:pos="6840"/>
        </w:tabs>
        <w:jc w:val="center"/>
      </w:pPr>
      <w:r>
        <w:tab/>
        <w:t>předseda senátu</w:t>
      </w:r>
    </w:p>
    <w:p w14:paraId="2D1571FE" w14:textId="77777777" w:rsidR="0045637B" w:rsidRDefault="0045637B" w:rsidP="0045637B">
      <w:pPr>
        <w:tabs>
          <w:tab w:val="center" w:pos="6840"/>
        </w:tabs>
        <w:jc w:val="both"/>
      </w:pPr>
    </w:p>
    <w:p w14:paraId="2AC2F996" w14:textId="77777777" w:rsidR="0045637B" w:rsidRDefault="0045637B" w:rsidP="0045637B">
      <w:pPr>
        <w:jc w:val="both"/>
      </w:pPr>
      <w:r>
        <w:t>Za správnost vyhotovení:</w:t>
      </w:r>
    </w:p>
    <w:p w14:paraId="14EDC0F1" w14:textId="77777777" w:rsidR="0045637B" w:rsidRDefault="0045637B" w:rsidP="0045637B">
      <w:pPr>
        <w:jc w:val="both"/>
      </w:pPr>
      <w:r>
        <w:t>Hana Heliová</w:t>
      </w:r>
    </w:p>
    <w:p w14:paraId="000FA20A" w14:textId="77777777" w:rsidR="0045637B" w:rsidRDefault="0045637B" w:rsidP="0045637B">
      <w:pPr>
        <w:jc w:val="both"/>
      </w:pPr>
    </w:p>
    <w:p w14:paraId="72C80DDB" w14:textId="77777777" w:rsidR="0045637B" w:rsidRDefault="0045637B" w:rsidP="0045637B">
      <w:pPr>
        <w:jc w:val="both"/>
      </w:pPr>
    </w:p>
    <w:p w14:paraId="7FC87B8C" w14:textId="77777777" w:rsidR="0045637B" w:rsidRDefault="0045637B" w:rsidP="0045637B">
      <w:pPr>
        <w:jc w:val="both"/>
      </w:pPr>
    </w:p>
    <w:p w14:paraId="4938B48D" w14:textId="77777777" w:rsidR="0045637B" w:rsidRDefault="0045637B" w:rsidP="0045637B">
      <w:pPr>
        <w:jc w:val="both"/>
      </w:pPr>
    </w:p>
    <w:p w14:paraId="1F736775" w14:textId="77777777" w:rsidR="0045637B" w:rsidRDefault="0045637B" w:rsidP="0045637B">
      <w:pPr>
        <w:jc w:val="both"/>
      </w:pPr>
    </w:p>
    <w:p w14:paraId="2954AC00" w14:textId="77777777" w:rsidR="0045637B" w:rsidRDefault="0045637B" w:rsidP="0045637B">
      <w:pPr>
        <w:jc w:val="both"/>
      </w:pPr>
    </w:p>
    <w:p w14:paraId="30575431" w14:textId="77777777" w:rsidR="0045637B" w:rsidRDefault="0045637B" w:rsidP="0045637B">
      <w:pPr>
        <w:jc w:val="both"/>
      </w:pPr>
      <w:r>
        <w:t xml:space="preserve">Toto rozhodnutí ze dne 22. srpna 2016, č. j. 61T 6/2016-424 nabylo právní moci ve výroku o vině a trestu dne 22. srpna 2016. </w:t>
      </w:r>
    </w:p>
    <w:p w14:paraId="2145ADA0" w14:textId="77777777" w:rsidR="0045637B" w:rsidRPr="00A4678C" w:rsidRDefault="0045637B" w:rsidP="0045637B">
      <w:r>
        <w:t>Připojení doložky provedla Hana Heliová dne 23. srpna 2016.</w:t>
      </w:r>
    </w:p>
    <w:p w14:paraId="09229417" w14:textId="77777777" w:rsidR="0045637B" w:rsidRPr="00DE7C5E" w:rsidRDefault="0045637B" w:rsidP="0045637B">
      <w:pPr>
        <w:jc w:val="both"/>
      </w:pPr>
    </w:p>
    <w:p w14:paraId="0E97FC58" w14:textId="77777777" w:rsidR="0045637B" w:rsidRPr="00A4678C" w:rsidRDefault="0045637B" w:rsidP="0045637B"/>
    <w:p w14:paraId="77B8621B" w14:textId="77777777" w:rsidR="00282005" w:rsidRDefault="00282005"/>
    <w:sectPr w:rsidR="00282005">
      <w:headerReference w:type="default" r:id="rId8"/>
      <w:pgSz w:w="11906" w:h="16838"/>
      <w:pgMar w:top="2268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02DE" w14:textId="77777777" w:rsidR="00000000" w:rsidRDefault="002F6040">
      <w:r>
        <w:separator/>
      </w:r>
    </w:p>
  </w:endnote>
  <w:endnote w:type="continuationSeparator" w:id="0">
    <w:p w14:paraId="66032026" w14:textId="77777777" w:rsidR="00000000" w:rsidRDefault="002F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BE16" w14:textId="77777777" w:rsidR="00000000" w:rsidRDefault="002F6040">
      <w:r>
        <w:separator/>
      </w:r>
    </w:p>
  </w:footnote>
  <w:footnote w:type="continuationSeparator" w:id="0">
    <w:p w14:paraId="67301AD0" w14:textId="77777777" w:rsidR="00000000" w:rsidRDefault="002F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1A1D" w14:textId="77777777" w:rsidR="00A61DEA" w:rsidRPr="00DE7C5E" w:rsidRDefault="001002DC">
    <w:pPr>
      <w:pStyle w:val="Zhlav"/>
      <w:rPr>
        <w:sz w:val="18"/>
        <w:szCs w:val="18"/>
      </w:rPr>
    </w:pPr>
    <w:r>
      <w:rPr>
        <w:sz w:val="18"/>
        <w:szCs w:val="18"/>
      </w:rPr>
      <w:t>pokračování</w:t>
    </w:r>
    <w:r>
      <w:rPr>
        <w:sz w:val="18"/>
        <w:szCs w:val="18"/>
      </w:rPr>
      <w:tab/>
      <w:t>-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sz w:val="18"/>
        <w:szCs w:val="18"/>
      </w:rPr>
      <w:t>-</w:t>
    </w:r>
    <w:r>
      <w:rPr>
        <w:sz w:val="18"/>
        <w:szCs w:val="18"/>
      </w:rPr>
      <w:tab/>
      <w:t>61 T  6/2016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16F"/>
    <w:multiLevelType w:val="hybridMultilevel"/>
    <w:tmpl w:val="8BDE5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81A"/>
    <w:multiLevelType w:val="hybridMultilevel"/>
    <w:tmpl w:val="C256D0D4"/>
    <w:lvl w:ilvl="0" w:tplc="FC1EA7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7B"/>
    <w:rsid w:val="001002DC"/>
    <w:rsid w:val="001A012E"/>
    <w:rsid w:val="00282005"/>
    <w:rsid w:val="002F6040"/>
    <w:rsid w:val="00397888"/>
    <w:rsid w:val="0045637B"/>
    <w:rsid w:val="004A6F53"/>
    <w:rsid w:val="00F1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EF2D"/>
  <w15:chartTrackingRefBased/>
  <w15:docId w15:val="{ED913C6F-68BD-4E3E-8869-FD4BC1E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5637B"/>
    <w:pPr>
      <w:keepNext/>
      <w:spacing w:before="240" w:after="60"/>
      <w:outlineLvl w:val="2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3Char">
    <w:name w:val="Nadpis 3 Char"/>
    <w:basedOn w:val="Standardnpsmoodstavce"/>
    <w:link w:val="Nadpis3"/>
    <w:rsid w:val="0045637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Rozsudek">
    <w:name w:val="Rozsudek"/>
    <w:basedOn w:val="Normln"/>
    <w:rsid w:val="0045637B"/>
    <w:rPr>
      <w:szCs w:val="20"/>
    </w:rPr>
  </w:style>
  <w:style w:type="paragraph" w:styleId="Zhlav">
    <w:name w:val="header"/>
    <w:basedOn w:val="Normln"/>
    <w:link w:val="ZhlavChar"/>
    <w:rsid w:val="004563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563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45637B"/>
  </w:style>
  <w:style w:type="paragraph" w:styleId="Zkladntext">
    <w:name w:val="Body Text"/>
    <w:basedOn w:val="Normln"/>
    <w:link w:val="ZkladntextChar"/>
    <w:uiPriority w:val="99"/>
    <w:rsid w:val="0045637B"/>
    <w:pPr>
      <w:suppressAutoHyphens/>
      <w:jc w:val="both"/>
    </w:pPr>
    <w:rPr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56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45637B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1300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Brně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6</cp:revision>
  <dcterms:created xsi:type="dcterms:W3CDTF">2022-09-26T11:49:00Z</dcterms:created>
  <dcterms:modified xsi:type="dcterms:W3CDTF">2022-11-17T16:10:00Z</dcterms:modified>
</cp:coreProperties>
</file>