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07261" w14:textId="5F006ED6" w:rsidR="00CD4441" w:rsidRPr="005B5EC8" w:rsidRDefault="00CD4441" w:rsidP="005B5EC8">
      <w:pPr>
        <w:spacing w:before="120" w:after="0" w:line="240" w:lineRule="auto"/>
        <w:jc w:val="right"/>
        <w:rPr>
          <w:sz w:val="24"/>
          <w:szCs w:val="24"/>
        </w:rPr>
      </w:pPr>
      <w:r w:rsidRPr="005B5EC8">
        <w:rPr>
          <w:sz w:val="24"/>
          <w:szCs w:val="24"/>
        </w:rPr>
        <w:t>III.</w:t>
      </w:r>
    </w:p>
    <w:p w14:paraId="43BA3C58" w14:textId="321085F9" w:rsidR="00BA07C5" w:rsidRPr="005B5EC8" w:rsidRDefault="00BA07C5" w:rsidP="005B5EC8">
      <w:pPr>
        <w:spacing w:before="120" w:after="0" w:line="240" w:lineRule="auto"/>
        <w:jc w:val="center"/>
        <w:rPr>
          <w:rFonts w:eastAsia="Times New Roman"/>
          <w:b/>
          <w:spacing w:val="30"/>
          <w:sz w:val="24"/>
          <w:szCs w:val="24"/>
        </w:rPr>
      </w:pPr>
      <w:r w:rsidRPr="005B5EC8">
        <w:rPr>
          <w:rFonts w:eastAsia="Times New Roman"/>
          <w:b/>
          <w:spacing w:val="30"/>
          <w:sz w:val="24"/>
          <w:szCs w:val="24"/>
        </w:rPr>
        <w:t>ODŮVODNĚNÍ</w:t>
      </w:r>
    </w:p>
    <w:p w14:paraId="5AA9DCED" w14:textId="77777777" w:rsidR="00BA07C5" w:rsidRPr="005B5EC8" w:rsidRDefault="00BA07C5" w:rsidP="005B5EC8">
      <w:pPr>
        <w:spacing w:before="120" w:after="0" w:line="240" w:lineRule="auto"/>
        <w:jc w:val="center"/>
        <w:rPr>
          <w:rFonts w:eastAsia="Times New Roman"/>
          <w:b/>
          <w:sz w:val="24"/>
          <w:szCs w:val="24"/>
          <w:u w:val="single"/>
        </w:rPr>
      </w:pPr>
    </w:p>
    <w:p w14:paraId="418D4B96" w14:textId="3AA99E22" w:rsidR="00BA07C5" w:rsidRPr="005546A6" w:rsidRDefault="005546A6" w:rsidP="005546A6">
      <w:pPr>
        <w:spacing w:before="120" w:after="0" w:line="240" w:lineRule="auto"/>
        <w:jc w:val="center"/>
        <w:rPr>
          <w:rFonts w:eastAsia="Times New Roman"/>
          <w:b/>
          <w:sz w:val="24"/>
          <w:szCs w:val="24"/>
        </w:rPr>
      </w:pPr>
      <w:r w:rsidRPr="005546A6">
        <w:rPr>
          <w:rFonts w:eastAsia="Times New Roman"/>
          <w:b/>
          <w:sz w:val="24"/>
          <w:szCs w:val="24"/>
        </w:rPr>
        <w:t>A.</w:t>
      </w:r>
      <w:r>
        <w:rPr>
          <w:rFonts w:eastAsia="Times New Roman"/>
          <w:b/>
          <w:sz w:val="24"/>
          <w:szCs w:val="24"/>
        </w:rPr>
        <w:t xml:space="preserve"> </w:t>
      </w:r>
      <w:r w:rsidR="00BA07C5" w:rsidRPr="005546A6">
        <w:rPr>
          <w:rFonts w:eastAsia="Times New Roman"/>
          <w:b/>
          <w:sz w:val="24"/>
          <w:szCs w:val="24"/>
        </w:rPr>
        <w:t>Obecná část</w:t>
      </w:r>
    </w:p>
    <w:p w14:paraId="64998B03" w14:textId="77777777" w:rsidR="00BA07C5" w:rsidRPr="005B5EC8" w:rsidRDefault="00BA07C5" w:rsidP="005B5EC8">
      <w:pPr>
        <w:spacing w:before="120" w:after="0" w:line="240" w:lineRule="auto"/>
        <w:jc w:val="both"/>
        <w:rPr>
          <w:rFonts w:eastAsia="Times New Roman"/>
          <w:b/>
          <w:sz w:val="24"/>
          <w:szCs w:val="24"/>
        </w:rPr>
      </w:pPr>
    </w:p>
    <w:p w14:paraId="7176E3E7" w14:textId="0DA27EAF" w:rsidR="00BA07C5" w:rsidRPr="005B5EC8" w:rsidRDefault="00BA07C5" w:rsidP="005B5EC8">
      <w:pPr>
        <w:spacing w:before="120" w:after="0" w:line="240" w:lineRule="auto"/>
        <w:jc w:val="both"/>
        <w:rPr>
          <w:i/>
          <w:sz w:val="24"/>
          <w:szCs w:val="24"/>
        </w:rPr>
      </w:pPr>
      <w:r w:rsidRPr="005B5EC8">
        <w:rPr>
          <w:rFonts w:eastAsia="Times New Roman"/>
          <w:b/>
          <w:sz w:val="24"/>
          <w:szCs w:val="24"/>
        </w:rPr>
        <w:t xml:space="preserve">Zhodnocení platného právního stavu a vysvětlení nezbytnosti navrhované právní úpravy, odůvodnění </w:t>
      </w:r>
      <w:r w:rsidR="0070013A">
        <w:rPr>
          <w:rFonts w:eastAsia="Times New Roman"/>
          <w:b/>
          <w:sz w:val="24"/>
          <w:szCs w:val="24"/>
        </w:rPr>
        <w:t xml:space="preserve">jejích </w:t>
      </w:r>
      <w:r w:rsidRPr="005B5EC8">
        <w:rPr>
          <w:rFonts w:eastAsia="Times New Roman"/>
          <w:b/>
          <w:sz w:val="24"/>
          <w:szCs w:val="24"/>
        </w:rPr>
        <w:t>hlavních principů</w:t>
      </w:r>
      <w:r w:rsidRPr="005B5EC8">
        <w:rPr>
          <w:sz w:val="24"/>
          <w:szCs w:val="24"/>
        </w:rPr>
        <w:t xml:space="preserve"> </w:t>
      </w:r>
    </w:p>
    <w:p w14:paraId="00737321" w14:textId="7785BEB6" w:rsidR="00CD4441" w:rsidRPr="00CD4441" w:rsidRDefault="00CD4441" w:rsidP="005B5EC8">
      <w:pPr>
        <w:autoSpaceDE w:val="0"/>
        <w:autoSpaceDN w:val="0"/>
        <w:adjustRightInd w:val="0"/>
        <w:spacing w:before="120" w:after="0" w:line="240" w:lineRule="auto"/>
        <w:jc w:val="both"/>
        <w:rPr>
          <w:sz w:val="24"/>
          <w:szCs w:val="24"/>
          <w:lang w:eastAsia="en-US"/>
        </w:rPr>
      </w:pPr>
      <w:r w:rsidRPr="00CD4441">
        <w:rPr>
          <w:sz w:val="24"/>
          <w:szCs w:val="24"/>
          <w:lang w:eastAsia="en-US"/>
        </w:rPr>
        <w:t>Rejstřík trestů vede dv</w:t>
      </w:r>
      <w:r w:rsidR="005E0741">
        <w:rPr>
          <w:sz w:val="24"/>
          <w:szCs w:val="24"/>
          <w:lang w:eastAsia="en-US"/>
        </w:rPr>
        <w:t>ě</w:t>
      </w:r>
      <w:r w:rsidRPr="00CD4441">
        <w:rPr>
          <w:sz w:val="24"/>
          <w:szCs w:val="24"/>
          <w:lang w:eastAsia="en-US"/>
        </w:rPr>
        <w:t xml:space="preserve"> evidenc</w:t>
      </w:r>
      <w:r w:rsidR="005E0741">
        <w:rPr>
          <w:sz w:val="24"/>
          <w:szCs w:val="24"/>
          <w:lang w:eastAsia="en-US"/>
        </w:rPr>
        <w:t>e</w:t>
      </w:r>
      <w:r w:rsidRPr="00CD4441">
        <w:rPr>
          <w:sz w:val="24"/>
          <w:szCs w:val="24"/>
          <w:lang w:eastAsia="en-US"/>
        </w:rPr>
        <w:t xml:space="preserve">, a to </w:t>
      </w:r>
    </w:p>
    <w:p w14:paraId="68146EDC" w14:textId="4936053E" w:rsidR="00CD4441" w:rsidRPr="00CD4441" w:rsidRDefault="00CD4441" w:rsidP="005B5EC8">
      <w:pPr>
        <w:widowControl w:val="0"/>
        <w:autoSpaceDE w:val="0"/>
        <w:autoSpaceDN w:val="0"/>
        <w:adjustRightInd w:val="0"/>
        <w:spacing w:before="120" w:after="0" w:line="240" w:lineRule="auto"/>
        <w:ind w:left="284" w:hanging="284"/>
        <w:jc w:val="both"/>
        <w:rPr>
          <w:bCs/>
          <w:sz w:val="24"/>
          <w:szCs w:val="24"/>
        </w:rPr>
      </w:pPr>
      <w:r w:rsidRPr="00CD4441">
        <w:rPr>
          <w:bCs/>
          <w:sz w:val="24"/>
          <w:szCs w:val="24"/>
        </w:rPr>
        <w:t>a) evidenc</w:t>
      </w:r>
      <w:r w:rsidR="005E0741">
        <w:rPr>
          <w:bCs/>
          <w:sz w:val="24"/>
          <w:szCs w:val="24"/>
        </w:rPr>
        <w:t>i</w:t>
      </w:r>
      <w:r w:rsidRPr="00CD4441">
        <w:rPr>
          <w:bCs/>
          <w:sz w:val="24"/>
          <w:szCs w:val="24"/>
        </w:rPr>
        <w:t xml:space="preserve"> fyzických a právnických osob pravomocně odsouzených soudy v trestním řízení, která zahrnuje i evidenci jiných významných skutečností pro trestní řízení, o kterých tak stanoví zákon o Rejstříku trestů nebo jiný zákon (evidence Rejstříku trestů), a </w:t>
      </w:r>
    </w:p>
    <w:p w14:paraId="72EDDEC3" w14:textId="56CBFD99" w:rsidR="00CD4441" w:rsidRPr="00CD4441" w:rsidRDefault="00CD4441" w:rsidP="005B5EC8">
      <w:pPr>
        <w:widowControl w:val="0"/>
        <w:autoSpaceDE w:val="0"/>
        <w:autoSpaceDN w:val="0"/>
        <w:adjustRightInd w:val="0"/>
        <w:spacing w:before="120" w:after="0" w:line="240" w:lineRule="auto"/>
        <w:ind w:left="284" w:hanging="284"/>
        <w:jc w:val="both"/>
        <w:rPr>
          <w:bCs/>
          <w:sz w:val="24"/>
          <w:szCs w:val="24"/>
        </w:rPr>
      </w:pPr>
      <w:r w:rsidRPr="00CD4441">
        <w:rPr>
          <w:bCs/>
          <w:sz w:val="24"/>
          <w:szCs w:val="24"/>
        </w:rPr>
        <w:t>b) evidenc</w:t>
      </w:r>
      <w:r w:rsidR="005E0741">
        <w:rPr>
          <w:bCs/>
          <w:sz w:val="24"/>
          <w:szCs w:val="24"/>
        </w:rPr>
        <w:t>i</w:t>
      </w:r>
      <w:r w:rsidRPr="00CD4441">
        <w:rPr>
          <w:bCs/>
          <w:sz w:val="24"/>
          <w:szCs w:val="24"/>
        </w:rPr>
        <w:t xml:space="preserve"> fyzických a právnických osob, které byly pravomocně uznány vinnými spácháním přestupku, pokud tak stanoví zvláštní právní předpis, a osob uvedených v § 4 odst. 5 zákona o odpovědnosti za přestupky a řízení o nich, které byly pravomocně uznány vinnými spácháním jednání majícího znaky takového přestupku (evidence přestupků). </w:t>
      </w:r>
    </w:p>
    <w:p w14:paraId="2A87D946" w14:textId="174EB05C" w:rsidR="00CD4441" w:rsidRPr="00CD4441" w:rsidRDefault="005E0741" w:rsidP="005B5EC8">
      <w:pPr>
        <w:spacing w:before="120" w:after="0" w:line="240" w:lineRule="auto"/>
        <w:jc w:val="both"/>
        <w:rPr>
          <w:sz w:val="24"/>
          <w:szCs w:val="24"/>
          <w:lang w:eastAsia="en-US"/>
        </w:rPr>
      </w:pPr>
      <w:r>
        <w:rPr>
          <w:sz w:val="24"/>
          <w:szCs w:val="24"/>
          <w:lang w:eastAsia="en-US"/>
        </w:rPr>
        <w:t>Do</w:t>
      </w:r>
      <w:r w:rsidR="00CD4441" w:rsidRPr="00CD4441">
        <w:rPr>
          <w:sz w:val="24"/>
          <w:szCs w:val="24"/>
          <w:lang w:eastAsia="en-US"/>
        </w:rPr>
        <w:t xml:space="preserve"> evidence Rejstříku trestů </w:t>
      </w:r>
      <w:r>
        <w:rPr>
          <w:sz w:val="24"/>
          <w:szCs w:val="24"/>
          <w:lang w:eastAsia="en-US"/>
        </w:rPr>
        <w:t xml:space="preserve">se zaznamenávají </w:t>
      </w:r>
      <w:r w:rsidR="00CD4441" w:rsidRPr="00CD4441">
        <w:rPr>
          <w:sz w:val="24"/>
          <w:szCs w:val="24"/>
          <w:lang w:eastAsia="en-US"/>
        </w:rPr>
        <w:t>údaje z trestních listů a další informace soudů, státních zastupitelství a Úřadu evropského veřejného žalobce [viz §</w:t>
      </w:r>
      <w:r>
        <w:rPr>
          <w:sz w:val="24"/>
          <w:szCs w:val="24"/>
          <w:lang w:eastAsia="en-US"/>
        </w:rPr>
        <w:t> </w:t>
      </w:r>
      <w:r w:rsidR="00CD4441" w:rsidRPr="00CD4441">
        <w:rPr>
          <w:sz w:val="24"/>
          <w:szCs w:val="24"/>
          <w:lang w:eastAsia="en-US"/>
        </w:rPr>
        <w:t>3</w:t>
      </w:r>
      <w:r>
        <w:rPr>
          <w:sz w:val="24"/>
          <w:szCs w:val="24"/>
          <w:lang w:eastAsia="en-US"/>
        </w:rPr>
        <w:t xml:space="preserve"> odst. 1, </w:t>
      </w:r>
      <w:r w:rsidR="00CD4441" w:rsidRPr="00CD4441">
        <w:rPr>
          <w:sz w:val="24"/>
          <w:szCs w:val="24"/>
          <w:lang w:eastAsia="en-US"/>
        </w:rPr>
        <w:t xml:space="preserve">§ 8 odst. 1 </w:t>
      </w:r>
      <w:r>
        <w:rPr>
          <w:sz w:val="24"/>
          <w:szCs w:val="24"/>
          <w:lang w:eastAsia="en-US"/>
        </w:rPr>
        <w:t xml:space="preserve">a § 9a </w:t>
      </w:r>
      <w:r w:rsidR="00CD4441" w:rsidRPr="00CD4441">
        <w:rPr>
          <w:sz w:val="24"/>
          <w:szCs w:val="24"/>
          <w:lang w:eastAsia="en-US"/>
        </w:rPr>
        <w:t>zákona č. 269/1994 Sb., o Rejstříku trestů, ve znění pozdějších předpisů (dále jen „zákon o</w:t>
      </w:r>
      <w:r>
        <w:rPr>
          <w:sz w:val="24"/>
          <w:szCs w:val="24"/>
          <w:lang w:eastAsia="en-US"/>
        </w:rPr>
        <w:t> </w:t>
      </w:r>
      <w:r w:rsidR="00CD4441" w:rsidRPr="00CD4441">
        <w:rPr>
          <w:sz w:val="24"/>
          <w:szCs w:val="24"/>
          <w:lang w:eastAsia="en-US"/>
        </w:rPr>
        <w:t>RT“)]</w:t>
      </w:r>
      <w:r>
        <w:rPr>
          <w:sz w:val="24"/>
          <w:szCs w:val="24"/>
          <w:lang w:eastAsia="en-US"/>
        </w:rPr>
        <w:t xml:space="preserve">; do </w:t>
      </w:r>
      <w:r w:rsidRPr="00CD4441">
        <w:rPr>
          <w:bCs/>
          <w:sz w:val="24"/>
          <w:szCs w:val="24"/>
        </w:rPr>
        <w:t>evidence přestupků</w:t>
      </w:r>
      <w:r>
        <w:rPr>
          <w:bCs/>
          <w:sz w:val="24"/>
          <w:szCs w:val="24"/>
        </w:rPr>
        <w:t xml:space="preserve"> </w:t>
      </w:r>
      <w:r>
        <w:rPr>
          <w:sz w:val="24"/>
          <w:szCs w:val="24"/>
          <w:lang w:eastAsia="en-US"/>
        </w:rPr>
        <w:t>zapisuje údaje s</w:t>
      </w:r>
      <w:r w:rsidRPr="005E0741">
        <w:rPr>
          <w:sz w:val="24"/>
          <w:szCs w:val="24"/>
          <w:lang w:eastAsia="en-US"/>
        </w:rPr>
        <w:t>právní orgán, který o přestupku rozhodoval v</w:t>
      </w:r>
      <w:r>
        <w:rPr>
          <w:sz w:val="24"/>
          <w:szCs w:val="24"/>
          <w:lang w:eastAsia="en-US"/>
        </w:rPr>
        <w:t> </w:t>
      </w:r>
      <w:r w:rsidRPr="005E0741">
        <w:rPr>
          <w:sz w:val="24"/>
          <w:szCs w:val="24"/>
          <w:lang w:eastAsia="en-US"/>
        </w:rPr>
        <w:t>posledním stupni</w:t>
      </w:r>
      <w:r>
        <w:rPr>
          <w:sz w:val="24"/>
          <w:szCs w:val="24"/>
          <w:lang w:eastAsia="en-US"/>
        </w:rPr>
        <w:t xml:space="preserve">, a v </w:t>
      </w:r>
      <w:r w:rsidRPr="005E0741">
        <w:rPr>
          <w:sz w:val="24"/>
          <w:szCs w:val="24"/>
          <w:lang w:eastAsia="en-US"/>
        </w:rPr>
        <w:t>případě, kdy o uložení pokuty příkazem na místě rozhodovala obecní policie, obecní úřad</w:t>
      </w:r>
      <w:r w:rsidR="0070013A">
        <w:rPr>
          <w:sz w:val="24"/>
          <w:szCs w:val="24"/>
          <w:lang w:eastAsia="en-US"/>
        </w:rPr>
        <w:t>,</w:t>
      </w:r>
      <w:r w:rsidRPr="005E0741">
        <w:rPr>
          <w:sz w:val="24"/>
          <w:szCs w:val="24"/>
          <w:lang w:eastAsia="en-US"/>
        </w:rPr>
        <w:t xml:space="preserve"> v hlavním městě Praze a ve statutárních městech </w:t>
      </w:r>
      <w:r w:rsidR="0070013A">
        <w:rPr>
          <w:sz w:val="24"/>
          <w:szCs w:val="24"/>
          <w:lang w:eastAsia="en-US"/>
        </w:rPr>
        <w:t xml:space="preserve">pak </w:t>
      </w:r>
      <w:r w:rsidRPr="005E0741">
        <w:rPr>
          <w:sz w:val="24"/>
          <w:szCs w:val="24"/>
          <w:lang w:eastAsia="en-US"/>
        </w:rPr>
        <w:t>městská policie</w:t>
      </w:r>
      <w:r>
        <w:rPr>
          <w:sz w:val="24"/>
          <w:szCs w:val="24"/>
          <w:lang w:eastAsia="en-US"/>
        </w:rPr>
        <w:t xml:space="preserve"> </w:t>
      </w:r>
      <w:r w:rsidR="00CD4441" w:rsidRPr="00CD4441">
        <w:rPr>
          <w:sz w:val="24"/>
          <w:szCs w:val="24"/>
          <w:lang w:eastAsia="en-US"/>
        </w:rPr>
        <w:t>(§</w:t>
      </w:r>
      <w:r w:rsidR="0070013A">
        <w:rPr>
          <w:sz w:val="24"/>
          <w:szCs w:val="24"/>
          <w:lang w:eastAsia="en-US"/>
        </w:rPr>
        <w:t> </w:t>
      </w:r>
      <w:r w:rsidR="00CD4441" w:rsidRPr="00CD4441">
        <w:rPr>
          <w:sz w:val="24"/>
          <w:szCs w:val="24"/>
          <w:lang w:eastAsia="en-US"/>
        </w:rPr>
        <w:t xml:space="preserve">107 odst. 1 </w:t>
      </w:r>
      <w:r>
        <w:rPr>
          <w:sz w:val="24"/>
          <w:szCs w:val="24"/>
          <w:lang w:eastAsia="en-US"/>
        </w:rPr>
        <w:t xml:space="preserve">a 2 </w:t>
      </w:r>
      <w:r w:rsidR="00CD4441" w:rsidRPr="00CD4441">
        <w:rPr>
          <w:sz w:val="24"/>
          <w:szCs w:val="24"/>
          <w:lang w:eastAsia="en-US"/>
        </w:rPr>
        <w:t>zákona č. 250/2016 Sb., o odpovědnosti za přestupky a</w:t>
      </w:r>
      <w:r>
        <w:rPr>
          <w:sz w:val="24"/>
          <w:szCs w:val="24"/>
          <w:lang w:eastAsia="en-US"/>
        </w:rPr>
        <w:t> </w:t>
      </w:r>
      <w:r w:rsidR="00CD4441" w:rsidRPr="00CD4441">
        <w:rPr>
          <w:sz w:val="24"/>
          <w:szCs w:val="24"/>
          <w:lang w:eastAsia="en-US"/>
        </w:rPr>
        <w:t>řízení o nich). Do</w:t>
      </w:r>
      <w:r w:rsidR="0070013A">
        <w:rPr>
          <w:sz w:val="24"/>
          <w:szCs w:val="24"/>
          <w:lang w:eastAsia="en-US"/>
        </w:rPr>
        <w:t> </w:t>
      </w:r>
      <w:r w:rsidR="00CD4441" w:rsidRPr="00CD4441">
        <w:rPr>
          <w:sz w:val="24"/>
          <w:szCs w:val="24"/>
          <w:lang w:eastAsia="en-US"/>
        </w:rPr>
        <w:t xml:space="preserve">evidence Rejstříku trestů jsou zaznamenávány i informace o některých odsouzeních cizozemskými soudy či mezinárodními trestními soudy nebo tribunály (§ 4 a 4a zákona o RT).  </w:t>
      </w:r>
    </w:p>
    <w:p w14:paraId="38A724C7" w14:textId="1E33F634" w:rsidR="00CD4441" w:rsidRPr="00CD4441" w:rsidRDefault="00CD4441" w:rsidP="005B5EC8">
      <w:pPr>
        <w:spacing w:before="120" w:after="0" w:line="240" w:lineRule="auto"/>
        <w:jc w:val="both"/>
        <w:rPr>
          <w:sz w:val="24"/>
          <w:szCs w:val="24"/>
          <w:lang w:eastAsia="en-US"/>
        </w:rPr>
      </w:pPr>
      <w:r w:rsidRPr="00CD4441">
        <w:rPr>
          <w:sz w:val="24"/>
          <w:szCs w:val="24"/>
          <w:lang w:eastAsia="en-US"/>
        </w:rPr>
        <w:t xml:space="preserve">Z těchto evidencí poskytuje </w:t>
      </w:r>
      <w:r w:rsidR="005E0741">
        <w:rPr>
          <w:sz w:val="24"/>
          <w:szCs w:val="24"/>
          <w:lang w:eastAsia="en-US"/>
        </w:rPr>
        <w:t xml:space="preserve">Rejstřík trestů </w:t>
      </w:r>
      <w:r w:rsidRPr="00CD4441">
        <w:rPr>
          <w:sz w:val="24"/>
          <w:szCs w:val="24"/>
          <w:lang w:eastAsia="en-US"/>
        </w:rPr>
        <w:t>v zákonech stanovených případech informace, a to ve formě opisu nebo výpisu z evidence Rejstříku trestů (viz § 10 a 1</w:t>
      </w:r>
      <w:r w:rsidR="005E0741">
        <w:rPr>
          <w:sz w:val="24"/>
          <w:szCs w:val="24"/>
          <w:lang w:eastAsia="en-US"/>
        </w:rPr>
        <w:t>1 a násl.</w:t>
      </w:r>
      <w:r w:rsidRPr="00CD4441">
        <w:rPr>
          <w:sz w:val="24"/>
          <w:szCs w:val="24"/>
          <w:lang w:eastAsia="en-US"/>
        </w:rPr>
        <w:t xml:space="preserve"> zákona o RT) a</w:t>
      </w:r>
      <w:r w:rsidR="005E0741">
        <w:rPr>
          <w:sz w:val="24"/>
          <w:szCs w:val="24"/>
          <w:lang w:eastAsia="en-US"/>
        </w:rPr>
        <w:t> </w:t>
      </w:r>
      <w:r w:rsidRPr="00CD4441">
        <w:rPr>
          <w:sz w:val="24"/>
          <w:szCs w:val="24"/>
          <w:lang w:eastAsia="en-US"/>
        </w:rPr>
        <w:t>ve</w:t>
      </w:r>
      <w:r w:rsidR="005E0741">
        <w:rPr>
          <w:sz w:val="24"/>
          <w:szCs w:val="24"/>
          <w:lang w:eastAsia="en-US"/>
        </w:rPr>
        <w:t> </w:t>
      </w:r>
      <w:r w:rsidRPr="00CD4441">
        <w:rPr>
          <w:sz w:val="24"/>
          <w:szCs w:val="24"/>
          <w:lang w:eastAsia="en-US"/>
        </w:rPr>
        <w:t xml:space="preserve">formě opisu z evidence přestupků (viz § 16j zákona o RT). </w:t>
      </w:r>
    </w:p>
    <w:p w14:paraId="5C50D4F5" w14:textId="42692DBB" w:rsidR="00255135" w:rsidRDefault="00CD4441" w:rsidP="005B5EC8">
      <w:pPr>
        <w:spacing w:before="120" w:after="0" w:line="240" w:lineRule="auto"/>
        <w:jc w:val="both"/>
        <w:rPr>
          <w:sz w:val="24"/>
          <w:szCs w:val="24"/>
          <w:lang w:eastAsia="en-US"/>
        </w:rPr>
      </w:pPr>
      <w:r w:rsidRPr="00CD4441">
        <w:rPr>
          <w:sz w:val="24"/>
          <w:szCs w:val="24"/>
          <w:lang w:eastAsia="en-US"/>
        </w:rPr>
        <w:t xml:space="preserve">Součástí těchto výstupů jsou v některých případech i informace poskytnuté prostřednictvím </w:t>
      </w:r>
      <w:r w:rsidRPr="00CD4441">
        <w:rPr>
          <w:rFonts w:eastAsia="MS Mincho"/>
          <w:bCs/>
          <w:sz w:val="24"/>
          <w:szCs w:val="24"/>
          <w:lang w:eastAsia="en-US"/>
        </w:rPr>
        <w:t xml:space="preserve">Evropského informačního systému rejstříků trestů (ECRIS) </w:t>
      </w:r>
      <w:r w:rsidRPr="00CD4441">
        <w:rPr>
          <w:sz w:val="24"/>
          <w:szCs w:val="24"/>
          <w:lang w:eastAsia="en-US"/>
        </w:rPr>
        <w:t xml:space="preserve">jiným členským státem Evropské unie nebo Spojeným královstvím Velké Británie a Severního Irska, které nejsou součástí vlastní evidence Rejstříku trestů, a to </w:t>
      </w:r>
    </w:p>
    <w:p w14:paraId="3AB7BC61" w14:textId="73FDC9FA" w:rsidR="00255135" w:rsidRPr="00255135" w:rsidRDefault="00255135" w:rsidP="00255135">
      <w:pPr>
        <w:pStyle w:val="Odstavecseseznamem"/>
        <w:numPr>
          <w:ilvl w:val="0"/>
          <w:numId w:val="2"/>
        </w:numPr>
        <w:spacing w:before="120" w:after="0" w:line="240" w:lineRule="auto"/>
        <w:ind w:left="284" w:hanging="284"/>
        <w:contextualSpacing w:val="0"/>
        <w:jc w:val="both"/>
        <w:rPr>
          <w:sz w:val="24"/>
          <w:szCs w:val="24"/>
          <w:lang w:eastAsia="en-US"/>
        </w:rPr>
      </w:pPr>
      <w:r w:rsidRPr="00CD4441">
        <w:rPr>
          <w:sz w:val="24"/>
          <w:szCs w:val="24"/>
          <w:lang w:eastAsia="en-US"/>
        </w:rPr>
        <w:t xml:space="preserve">v případě </w:t>
      </w:r>
      <w:r w:rsidR="00CD4441" w:rsidRPr="00255135">
        <w:rPr>
          <w:sz w:val="24"/>
          <w:szCs w:val="24"/>
          <w:lang w:eastAsia="en-US"/>
        </w:rPr>
        <w:t>výpisu, který je vydáván na žádost osoby, která je státním příslušníkem jiného členského státu Evropské unie</w:t>
      </w:r>
      <w:r>
        <w:rPr>
          <w:sz w:val="24"/>
          <w:szCs w:val="24"/>
          <w:lang w:eastAsia="en-US"/>
        </w:rPr>
        <w:t xml:space="preserve"> </w:t>
      </w:r>
      <w:r w:rsidRPr="00255135">
        <w:rPr>
          <w:sz w:val="24"/>
          <w:szCs w:val="24"/>
          <w:lang w:eastAsia="en-US"/>
        </w:rPr>
        <w:t>(§ 13 odst. 2 zákona o RT)</w:t>
      </w:r>
      <w:r w:rsidR="00CD4441" w:rsidRPr="00255135">
        <w:rPr>
          <w:sz w:val="24"/>
          <w:szCs w:val="24"/>
          <w:lang w:eastAsia="en-US"/>
        </w:rPr>
        <w:t xml:space="preserve">, </w:t>
      </w:r>
    </w:p>
    <w:p w14:paraId="0A0972A8" w14:textId="47191AE4" w:rsidR="00255135" w:rsidRDefault="00255135" w:rsidP="00255135">
      <w:pPr>
        <w:pStyle w:val="Odstavecseseznamem"/>
        <w:numPr>
          <w:ilvl w:val="0"/>
          <w:numId w:val="2"/>
        </w:numPr>
        <w:spacing w:before="120" w:after="0" w:line="240" w:lineRule="auto"/>
        <w:ind w:left="284" w:hanging="284"/>
        <w:contextualSpacing w:val="0"/>
        <w:jc w:val="both"/>
        <w:rPr>
          <w:sz w:val="24"/>
          <w:szCs w:val="24"/>
          <w:lang w:eastAsia="en-US"/>
        </w:rPr>
      </w:pPr>
      <w:r w:rsidRPr="00CD4441">
        <w:rPr>
          <w:sz w:val="24"/>
          <w:szCs w:val="24"/>
          <w:lang w:eastAsia="en-US"/>
        </w:rPr>
        <w:t xml:space="preserve">v případě </w:t>
      </w:r>
      <w:r w:rsidR="00CD4441" w:rsidRPr="00255135">
        <w:rPr>
          <w:sz w:val="24"/>
          <w:szCs w:val="24"/>
          <w:lang w:eastAsia="en-US"/>
        </w:rPr>
        <w:t>výpisu, který je vydáván na žádost osoby, která měla nebo má bydliště v jiném členském státě Evropské unie nebo která byla státním příslušníkem jiného členského státu Evropské unie, pokud o ně tato osoba v žádosti o výpis požádala (§ 13 odst. 3 zákona o RT)</w:t>
      </w:r>
      <w:r>
        <w:rPr>
          <w:sz w:val="24"/>
          <w:szCs w:val="24"/>
          <w:lang w:eastAsia="en-US"/>
        </w:rPr>
        <w:t>,</w:t>
      </w:r>
      <w:r w:rsidR="00CD4441" w:rsidRPr="00255135">
        <w:rPr>
          <w:sz w:val="24"/>
          <w:szCs w:val="24"/>
          <w:lang w:eastAsia="en-US"/>
        </w:rPr>
        <w:t xml:space="preserve"> </w:t>
      </w:r>
    </w:p>
    <w:p w14:paraId="7F3AB1AB" w14:textId="140AD6CC" w:rsidR="00CD4441" w:rsidRPr="00255135" w:rsidRDefault="00255135" w:rsidP="00255135">
      <w:pPr>
        <w:pStyle w:val="Odstavecseseznamem"/>
        <w:numPr>
          <w:ilvl w:val="0"/>
          <w:numId w:val="2"/>
        </w:numPr>
        <w:spacing w:before="120" w:after="0" w:line="240" w:lineRule="auto"/>
        <w:ind w:left="284" w:hanging="284"/>
        <w:contextualSpacing w:val="0"/>
        <w:jc w:val="both"/>
        <w:rPr>
          <w:sz w:val="24"/>
          <w:szCs w:val="24"/>
          <w:lang w:eastAsia="en-US"/>
        </w:rPr>
      </w:pPr>
      <w:r w:rsidRPr="00CD4441">
        <w:rPr>
          <w:sz w:val="24"/>
          <w:szCs w:val="24"/>
          <w:lang w:eastAsia="en-US"/>
        </w:rPr>
        <w:t>v</w:t>
      </w:r>
      <w:r>
        <w:rPr>
          <w:sz w:val="24"/>
          <w:szCs w:val="24"/>
          <w:lang w:eastAsia="en-US"/>
        </w:rPr>
        <w:t> </w:t>
      </w:r>
      <w:r w:rsidRPr="00CD4441">
        <w:rPr>
          <w:sz w:val="24"/>
          <w:szCs w:val="24"/>
          <w:lang w:eastAsia="en-US"/>
        </w:rPr>
        <w:t>případě</w:t>
      </w:r>
      <w:r>
        <w:rPr>
          <w:sz w:val="24"/>
          <w:szCs w:val="24"/>
          <w:lang w:eastAsia="en-US"/>
        </w:rPr>
        <w:t xml:space="preserve">, kdy je to zapotřebí </w:t>
      </w:r>
      <w:r w:rsidR="00CD4441" w:rsidRPr="00255135">
        <w:rPr>
          <w:sz w:val="24"/>
          <w:szCs w:val="24"/>
          <w:lang w:eastAsia="en-US"/>
        </w:rPr>
        <w:t>pro účely trestního řízení (§ 16g odst. 1 zákona o RT).</w:t>
      </w:r>
    </w:p>
    <w:p w14:paraId="09BEE2FD" w14:textId="77777777" w:rsidR="00CD4441" w:rsidRPr="00CD4441" w:rsidRDefault="00CD4441" w:rsidP="005B5EC8">
      <w:pPr>
        <w:spacing w:before="120" w:after="0" w:line="240" w:lineRule="auto"/>
        <w:jc w:val="both"/>
        <w:rPr>
          <w:sz w:val="24"/>
          <w:szCs w:val="24"/>
          <w:lang w:eastAsia="en-US"/>
        </w:rPr>
      </w:pPr>
      <w:r w:rsidRPr="00CD4441">
        <w:rPr>
          <w:sz w:val="24"/>
          <w:szCs w:val="24"/>
          <w:lang w:eastAsia="en-US"/>
        </w:rPr>
        <w:t>Žádosti o opis nebo výpis z evidence Rejstříku trestů anebo o opis z evidence přestupků se podávají prostřednictvím elektronické aplikace přístupné způsobem umožňujícím dálkový přístup nebo na formuláři, jehož náležitosti stanoví prováděcí vyhláška. Touto vyhláškou je vyhláška č. 227/2016 Sb. o náležitostech formulářů žádosti o opis nebo výpis z evidence Rejstříku trestů a žádosti o opis z evidence přestupků.</w:t>
      </w:r>
    </w:p>
    <w:p w14:paraId="2FEDF501" w14:textId="77777777" w:rsidR="00CD4441" w:rsidRPr="00CD4441" w:rsidRDefault="00CD4441" w:rsidP="005B5EC8">
      <w:pPr>
        <w:spacing w:before="120" w:after="0" w:line="240" w:lineRule="auto"/>
        <w:jc w:val="both"/>
        <w:rPr>
          <w:sz w:val="24"/>
          <w:szCs w:val="24"/>
          <w:lang w:eastAsia="en-US"/>
        </w:rPr>
      </w:pPr>
      <w:bookmarkStart w:id="0" w:name="_Hlk94944769"/>
      <w:r w:rsidRPr="00CD4441">
        <w:rPr>
          <w:sz w:val="24"/>
          <w:szCs w:val="24"/>
          <w:lang w:eastAsia="en-US"/>
        </w:rPr>
        <w:lastRenderedPageBreak/>
        <w:t>Nařízení Evropského parlamentu a Rady (EU) 2019/816</w:t>
      </w:r>
      <w:r w:rsidRPr="00CD4441">
        <w:rPr>
          <w:sz w:val="24"/>
          <w:szCs w:val="24"/>
          <w:vertAlign w:val="superscript"/>
          <w:lang w:eastAsia="en-US"/>
        </w:rPr>
        <w:footnoteReference w:id="1"/>
      </w:r>
      <w:r w:rsidRPr="00CD4441">
        <w:rPr>
          <w:sz w:val="24"/>
          <w:szCs w:val="24"/>
          <w:lang w:eastAsia="en-US"/>
        </w:rPr>
        <w:t xml:space="preserve"> (dále jen „nařízení ECRIS-TCN“) spolu se směrnicí Evropského parlamentu a Rady (EU) 2019/884</w:t>
      </w:r>
      <w:r w:rsidRPr="00CD4441">
        <w:rPr>
          <w:sz w:val="24"/>
          <w:szCs w:val="24"/>
          <w:vertAlign w:val="superscript"/>
          <w:lang w:eastAsia="en-US"/>
        </w:rPr>
        <w:footnoteReference w:id="2"/>
      </w:r>
      <w:r w:rsidRPr="00CD4441">
        <w:rPr>
          <w:sz w:val="24"/>
          <w:szCs w:val="24"/>
          <w:lang w:eastAsia="en-US"/>
        </w:rPr>
        <w:t xml:space="preserve"> </w:t>
      </w:r>
      <w:bookmarkEnd w:id="0"/>
      <w:r w:rsidRPr="00CD4441">
        <w:rPr>
          <w:sz w:val="24"/>
          <w:szCs w:val="24"/>
          <w:lang w:eastAsia="en-US"/>
        </w:rPr>
        <w:t xml:space="preserve">(dále jen „směrnice ECRIS“) a  Dohodou o obchodu a spolupráci mezi Evropskou unií a Evropským společenstvím pro atomovou energii na jedné straně a Spojeným královstvím Velké Británie a Severního Irska na straně druhé ze dne 30. dubna 2021, ve spojení s adaptační novelou zákona o RT, která je projednávána jako sněmovní tisk 86, rozšiřuje okruh případů, kdy budou k výpisu nebo opisu z evidence Rejstříku trestů připojeny i ad hoc vyžádané informace z evidencí jiných členských států Evropské unie nebo z evidence odsouzení vedené Spojeným královstvím Velké Británie a Severního Irska. </w:t>
      </w:r>
    </w:p>
    <w:p w14:paraId="56DCE421" w14:textId="38C254CB" w:rsidR="00CD4441" w:rsidRPr="00CD4441" w:rsidRDefault="00CD4441" w:rsidP="00BF358C">
      <w:pPr>
        <w:spacing w:before="120" w:after="0" w:line="240" w:lineRule="auto"/>
        <w:jc w:val="both"/>
        <w:rPr>
          <w:sz w:val="24"/>
          <w:szCs w:val="24"/>
          <w:lang w:eastAsia="en-US"/>
        </w:rPr>
      </w:pPr>
      <w:r w:rsidRPr="00CD4441">
        <w:rPr>
          <w:sz w:val="24"/>
          <w:szCs w:val="24"/>
          <w:lang w:eastAsia="en-US"/>
        </w:rPr>
        <w:t>Uvedené nařízení ECRIS-TCN a směrnice ECRIS mají za cíl vytvoření tzv. centrálního systému pro identifikaci členských států Evropské unie, které by měly uchovávat informace o odsouzení občanů třetích zemí, osob bez státní příslušnosti a osob, jejichž státní příslušnost se nepodařilo zjistit. Centrální systém by měl umožnit členským státům rychle a efektivně identifikovat členské státy, které mohou disponovat informacemi o odsouzení těchto osob. Dožadující členský stát pak může identifikovan</w:t>
      </w:r>
      <w:r w:rsidR="00BF358C">
        <w:rPr>
          <w:sz w:val="24"/>
          <w:szCs w:val="24"/>
          <w:lang w:eastAsia="en-US"/>
        </w:rPr>
        <w:t xml:space="preserve">ým </w:t>
      </w:r>
      <w:r w:rsidRPr="00CD4441">
        <w:rPr>
          <w:sz w:val="24"/>
          <w:szCs w:val="24"/>
          <w:lang w:eastAsia="en-US"/>
        </w:rPr>
        <w:t xml:space="preserve">členským státům zaslat žádost o informace o odsouzeních </w:t>
      </w:r>
      <w:r w:rsidR="00BF358C">
        <w:rPr>
          <w:sz w:val="24"/>
          <w:szCs w:val="24"/>
          <w:lang w:eastAsia="en-US"/>
        </w:rPr>
        <w:t xml:space="preserve">těchto osob </w:t>
      </w:r>
      <w:r w:rsidRPr="00CD4441">
        <w:rPr>
          <w:sz w:val="24"/>
          <w:szCs w:val="24"/>
          <w:lang w:eastAsia="en-US"/>
        </w:rPr>
        <w:t>prostřednictvím stávajícího decentralizovaného systému pro výměnu informací mezi rejstříky trestů jednotlivých členských států</w:t>
      </w:r>
      <w:r w:rsidR="00BF358C">
        <w:rPr>
          <w:sz w:val="24"/>
          <w:szCs w:val="24"/>
          <w:lang w:eastAsia="en-US"/>
        </w:rPr>
        <w:t xml:space="preserve"> (prostřednictvím systému ECRIS)</w:t>
      </w:r>
      <w:r w:rsidRPr="00CD4441">
        <w:rPr>
          <w:sz w:val="24"/>
          <w:szCs w:val="24"/>
          <w:lang w:eastAsia="en-US"/>
        </w:rPr>
        <w:t xml:space="preserve">. V některých případech </w:t>
      </w:r>
      <w:r w:rsidR="00BF358C">
        <w:rPr>
          <w:sz w:val="24"/>
          <w:szCs w:val="24"/>
          <w:lang w:eastAsia="en-US"/>
        </w:rPr>
        <w:t xml:space="preserve">je </w:t>
      </w:r>
      <w:r w:rsidRPr="00CD4441">
        <w:rPr>
          <w:sz w:val="24"/>
          <w:szCs w:val="24"/>
          <w:lang w:eastAsia="en-US"/>
        </w:rPr>
        <w:t xml:space="preserve">využití systému ECRIS-TCN </w:t>
      </w:r>
      <w:r w:rsidR="00BF358C">
        <w:rPr>
          <w:sz w:val="24"/>
          <w:szCs w:val="24"/>
          <w:lang w:eastAsia="en-US"/>
        </w:rPr>
        <w:t xml:space="preserve">podle </w:t>
      </w:r>
      <w:r w:rsidRPr="00CD4441">
        <w:rPr>
          <w:sz w:val="24"/>
          <w:szCs w:val="24"/>
          <w:lang w:eastAsia="en-US"/>
        </w:rPr>
        <w:t>nařízení ECRIS-TCN</w:t>
      </w:r>
      <w:r w:rsidR="00BF358C">
        <w:rPr>
          <w:sz w:val="24"/>
          <w:szCs w:val="24"/>
          <w:lang w:eastAsia="en-US"/>
        </w:rPr>
        <w:t xml:space="preserve"> povinné</w:t>
      </w:r>
      <w:r w:rsidRPr="00CD4441">
        <w:rPr>
          <w:sz w:val="24"/>
          <w:szCs w:val="24"/>
          <w:lang w:eastAsia="en-US"/>
        </w:rPr>
        <w:t xml:space="preserve">, v některých případech </w:t>
      </w:r>
      <w:r w:rsidR="00BF358C">
        <w:rPr>
          <w:sz w:val="24"/>
          <w:szCs w:val="24"/>
          <w:lang w:eastAsia="en-US"/>
        </w:rPr>
        <w:t xml:space="preserve">však </w:t>
      </w:r>
      <w:r w:rsidRPr="00CD4441">
        <w:rPr>
          <w:sz w:val="24"/>
          <w:szCs w:val="24"/>
          <w:lang w:eastAsia="en-US"/>
        </w:rPr>
        <w:t xml:space="preserve">může </w:t>
      </w:r>
      <w:r w:rsidR="00BF358C">
        <w:rPr>
          <w:sz w:val="24"/>
          <w:szCs w:val="24"/>
          <w:lang w:eastAsia="en-US"/>
        </w:rPr>
        <w:t xml:space="preserve">být </w:t>
      </w:r>
      <w:r w:rsidRPr="00CD4441">
        <w:rPr>
          <w:sz w:val="24"/>
          <w:szCs w:val="24"/>
          <w:lang w:eastAsia="en-US"/>
        </w:rPr>
        <w:t xml:space="preserve">jeho využití </w:t>
      </w:r>
      <w:r w:rsidR="00BF358C" w:rsidRPr="00CD4441">
        <w:rPr>
          <w:sz w:val="24"/>
          <w:szCs w:val="24"/>
          <w:lang w:eastAsia="en-US"/>
        </w:rPr>
        <w:t>podmíněno žádostí</w:t>
      </w:r>
      <w:r w:rsidR="00BF358C">
        <w:rPr>
          <w:sz w:val="24"/>
          <w:szCs w:val="24"/>
          <w:lang w:eastAsia="en-US"/>
        </w:rPr>
        <w:t xml:space="preserve"> toho, </w:t>
      </w:r>
      <w:r w:rsidRPr="00CD4441">
        <w:rPr>
          <w:sz w:val="24"/>
          <w:szCs w:val="24"/>
          <w:lang w:eastAsia="en-US"/>
        </w:rPr>
        <w:t>kdo o</w:t>
      </w:r>
      <w:r w:rsidR="00BF358C">
        <w:rPr>
          <w:sz w:val="24"/>
          <w:szCs w:val="24"/>
          <w:lang w:eastAsia="en-US"/>
        </w:rPr>
        <w:t> </w:t>
      </w:r>
      <w:r w:rsidRPr="00CD4441">
        <w:rPr>
          <w:sz w:val="24"/>
          <w:szCs w:val="24"/>
          <w:lang w:eastAsia="en-US"/>
        </w:rPr>
        <w:t xml:space="preserve">informace o trestní minulosti určité osoby žádá, </w:t>
      </w:r>
      <w:r w:rsidR="00BF358C">
        <w:rPr>
          <w:sz w:val="24"/>
          <w:szCs w:val="24"/>
          <w:lang w:eastAsia="en-US"/>
        </w:rPr>
        <w:t xml:space="preserve">popř. jím může být využití ECRIS-TCN </w:t>
      </w:r>
      <w:r w:rsidRPr="00CD4441">
        <w:rPr>
          <w:sz w:val="24"/>
          <w:szCs w:val="24"/>
          <w:lang w:eastAsia="en-US"/>
        </w:rPr>
        <w:t xml:space="preserve">vyloučeno. </w:t>
      </w:r>
    </w:p>
    <w:p w14:paraId="112B74CE" w14:textId="187A3BB6" w:rsidR="00B830D0" w:rsidRDefault="00CD4441" w:rsidP="005B5EC8">
      <w:pPr>
        <w:spacing w:before="120" w:after="0" w:line="240" w:lineRule="auto"/>
        <w:jc w:val="both"/>
        <w:rPr>
          <w:sz w:val="24"/>
          <w:szCs w:val="24"/>
          <w:lang w:eastAsia="en-US"/>
        </w:rPr>
      </w:pPr>
      <w:r w:rsidRPr="00CD4441">
        <w:rPr>
          <w:sz w:val="24"/>
          <w:szCs w:val="24"/>
          <w:lang w:eastAsia="en-US"/>
        </w:rPr>
        <w:t>Po nabytí účinnosti novely zákona o RT projednávané jako tisk 86, resp. po zahájení činnosti nového evropského informačního systému ECRIS-TCN</w:t>
      </w:r>
      <w:r w:rsidR="00B830D0">
        <w:rPr>
          <w:sz w:val="24"/>
          <w:szCs w:val="24"/>
          <w:lang w:eastAsia="en-US"/>
        </w:rPr>
        <w:t>,</w:t>
      </w:r>
      <w:r w:rsidRPr="00CD4441">
        <w:rPr>
          <w:sz w:val="24"/>
          <w:szCs w:val="24"/>
          <w:lang w:eastAsia="en-US"/>
        </w:rPr>
        <w:t xml:space="preserve"> bude systém ECRIS-TCN využíván</w:t>
      </w:r>
    </w:p>
    <w:p w14:paraId="4C8E7081" w14:textId="3E91453E" w:rsidR="00B830D0" w:rsidRDefault="00CD4441" w:rsidP="00B830D0">
      <w:pPr>
        <w:pStyle w:val="Odstavecseseznamem"/>
        <w:numPr>
          <w:ilvl w:val="0"/>
          <w:numId w:val="2"/>
        </w:numPr>
        <w:spacing w:before="120" w:after="0" w:line="240" w:lineRule="auto"/>
        <w:ind w:left="284" w:hanging="284"/>
        <w:contextualSpacing w:val="0"/>
        <w:jc w:val="both"/>
        <w:rPr>
          <w:sz w:val="24"/>
          <w:szCs w:val="24"/>
          <w:lang w:eastAsia="en-US"/>
        </w:rPr>
      </w:pPr>
      <w:r w:rsidRPr="00B830D0">
        <w:rPr>
          <w:sz w:val="24"/>
          <w:szCs w:val="24"/>
          <w:lang w:eastAsia="en-US"/>
        </w:rPr>
        <w:t>vždy, pokud bude žádost o opis nebo výpis, která se bude týkat fyzické osoby a která bude podána pro účely uvedené v čl. 10 odst. 2 směrnice 2011/99/EU</w:t>
      </w:r>
      <w:r w:rsidRPr="00CD4441">
        <w:rPr>
          <w:vertAlign w:val="superscript"/>
          <w:lang w:eastAsia="en-US"/>
        </w:rPr>
        <w:footnoteReference w:id="3"/>
      </w:r>
      <w:r w:rsidRPr="00B830D0">
        <w:rPr>
          <w:sz w:val="24"/>
          <w:szCs w:val="24"/>
          <w:lang w:eastAsia="en-US"/>
        </w:rPr>
        <w:t xml:space="preserve"> ze dne 13. prosince 2011 o boji proti pohlavnímu zneužívání a pohlavnímu vykořisťování dětí a proti dětské pornografii, kterou se nahrazuje rámcové rozhodnutí Rady 2004/68/SVV, tj. pro účely výkonu profesní nebo organizované dobrovolné činnosti, která zahrnuje přímý a pravidelný kontakt s</w:t>
      </w:r>
      <w:r w:rsidR="00C37E89">
        <w:rPr>
          <w:sz w:val="24"/>
          <w:szCs w:val="24"/>
          <w:lang w:eastAsia="en-US"/>
        </w:rPr>
        <w:t> </w:t>
      </w:r>
      <w:r w:rsidRPr="00B830D0">
        <w:rPr>
          <w:sz w:val="24"/>
          <w:szCs w:val="24"/>
          <w:lang w:eastAsia="en-US"/>
        </w:rPr>
        <w:t>dětmi</w:t>
      </w:r>
      <w:r w:rsidR="00C37E89">
        <w:rPr>
          <w:sz w:val="24"/>
          <w:szCs w:val="24"/>
          <w:lang w:eastAsia="en-US"/>
        </w:rPr>
        <w:t>,</w:t>
      </w:r>
      <w:r w:rsidRPr="00B830D0">
        <w:rPr>
          <w:sz w:val="24"/>
          <w:szCs w:val="24"/>
          <w:lang w:eastAsia="en-US"/>
        </w:rPr>
        <w:t xml:space="preserve"> a </w:t>
      </w:r>
    </w:p>
    <w:p w14:paraId="7328ABBD" w14:textId="1CF0AB07" w:rsidR="00CD4441" w:rsidRPr="00B830D0" w:rsidRDefault="00CD4441" w:rsidP="00B830D0">
      <w:pPr>
        <w:pStyle w:val="Odstavecseseznamem"/>
        <w:numPr>
          <w:ilvl w:val="0"/>
          <w:numId w:val="2"/>
        </w:numPr>
        <w:spacing w:before="120" w:after="0" w:line="240" w:lineRule="auto"/>
        <w:ind w:left="284" w:hanging="284"/>
        <w:contextualSpacing w:val="0"/>
        <w:jc w:val="both"/>
        <w:rPr>
          <w:sz w:val="24"/>
          <w:szCs w:val="24"/>
          <w:lang w:eastAsia="en-US"/>
        </w:rPr>
      </w:pPr>
      <w:r w:rsidRPr="00B830D0">
        <w:rPr>
          <w:sz w:val="24"/>
          <w:szCs w:val="24"/>
          <w:lang w:eastAsia="en-US"/>
        </w:rPr>
        <w:t xml:space="preserve">v zásadě vždy, pokud se žádost týká osoby, která je státním příslušníkem jiného než členského státu Evropské unie, osobou bez státní příslušnosti nebo osobou, jejíž státní příslušnost se nepodařilo zjistit, tj. je osobou, která nemá výlučně občanství pouze České republiky nebo jiného členského státu Evropské unie (tento postup může být v žádosti vyloučen, podle čl. 7 odst. 1 nařízení ECRIS-TCN však vyloučení není možné v případech, </w:t>
      </w:r>
      <w:r w:rsidR="0070050C">
        <w:rPr>
          <w:sz w:val="24"/>
          <w:szCs w:val="24"/>
          <w:lang w:eastAsia="en-US"/>
        </w:rPr>
        <w:t>ve kterých</w:t>
      </w:r>
      <w:r w:rsidRPr="00B830D0">
        <w:rPr>
          <w:sz w:val="24"/>
          <w:szCs w:val="24"/>
          <w:lang w:eastAsia="en-US"/>
        </w:rPr>
        <w:t xml:space="preserve"> „státní příslušník třetí země žádá ústřední orgán o informace o svých vlastních záznamech v rejstříku trestů“).</w:t>
      </w:r>
    </w:p>
    <w:p w14:paraId="7A51651F" w14:textId="77777777" w:rsidR="00CD4441" w:rsidRPr="00CD4441" w:rsidRDefault="00CD4441" w:rsidP="005B5EC8">
      <w:pPr>
        <w:spacing w:before="120" w:after="0" w:line="240" w:lineRule="auto"/>
        <w:jc w:val="both"/>
        <w:rPr>
          <w:sz w:val="24"/>
          <w:szCs w:val="24"/>
          <w:lang w:eastAsia="en-US"/>
        </w:rPr>
      </w:pPr>
      <w:r w:rsidRPr="00CD4441">
        <w:rPr>
          <w:sz w:val="24"/>
          <w:szCs w:val="24"/>
          <w:lang w:eastAsia="en-US"/>
        </w:rPr>
        <w:t xml:space="preserve">Podle čl. 7 odst. 4 nařízení ECRIS-TCN pak mohou příslušné orgány rovněž vyhledávat v ECRIS-TCN s cílem ověřit, zda má o určité osobě, která je občanem Unie, kterýkoli členský stát informace z rejstříku trestů týkající se této osoby jako státního příslušníka třetí země (viz i § 16g odst. 3 zákona o RT ve znění tisku 86). </w:t>
      </w:r>
    </w:p>
    <w:p w14:paraId="1FA15305" w14:textId="245164B3" w:rsidR="00CD4441" w:rsidRPr="00CD4441" w:rsidRDefault="00CD4441" w:rsidP="005B5EC8">
      <w:pPr>
        <w:spacing w:before="120" w:after="0" w:line="240" w:lineRule="auto"/>
        <w:jc w:val="both"/>
        <w:rPr>
          <w:sz w:val="24"/>
          <w:szCs w:val="24"/>
          <w:lang w:eastAsia="en-US"/>
        </w:rPr>
      </w:pPr>
      <w:r w:rsidRPr="00CD4441">
        <w:rPr>
          <w:sz w:val="24"/>
          <w:szCs w:val="24"/>
          <w:lang w:eastAsia="en-US"/>
        </w:rPr>
        <w:t>Projednávaná novela zákona o RT umožňuje taktéž využít plně možností i stávajícího systému ECRIS, tj. umožnit získání informací prostřednictvím tohoto systému ve všech případech, které umožňuje čl. 6 odst. 1 rámcového rozhodnutí ECRIS (</w:t>
      </w:r>
      <w:bookmarkStart w:id="1" w:name="_Hlk94949125"/>
      <w:r w:rsidRPr="00CD4441">
        <w:rPr>
          <w:sz w:val="24"/>
          <w:szCs w:val="24"/>
          <w:lang w:eastAsia="en-US"/>
        </w:rPr>
        <w:t>rámcové rozhodnutí Rady 2009/315/SVV ze dne 26. února 2009 o organizaci a obsahu výměny informací z rejstříku trestů mezi členskými státy</w:t>
      </w:r>
      <w:bookmarkEnd w:id="1"/>
      <w:r w:rsidRPr="00CD4441">
        <w:rPr>
          <w:sz w:val="24"/>
          <w:szCs w:val="24"/>
          <w:lang w:eastAsia="en-US"/>
        </w:rPr>
        <w:t>) a tak umožnit žádat o informace z jiných členských států Evropské unie nebo ze Spojeného království Velké Británie a Severního Irska i těch případech, kdy to orgán veřejné moci potřebuje i pro jiné účely než trestní řízení (§ 16g odst. 1 zákona o RT ve znění tisku 86; možnost, kdy tak může učinit fyzická osoba</w:t>
      </w:r>
      <w:r w:rsidR="00B830D0">
        <w:rPr>
          <w:sz w:val="24"/>
          <w:szCs w:val="24"/>
          <w:lang w:eastAsia="en-US"/>
        </w:rPr>
        <w:t>,</w:t>
      </w:r>
      <w:r w:rsidRPr="00CD4441">
        <w:rPr>
          <w:sz w:val="24"/>
          <w:szCs w:val="24"/>
          <w:lang w:eastAsia="en-US"/>
        </w:rPr>
        <w:t xml:space="preserve"> je obsažena v § 16g odst. 3 a 5 zákona o RT ve znění tisku 86).</w:t>
      </w:r>
    </w:p>
    <w:p w14:paraId="4D7C2435" w14:textId="77777777" w:rsidR="00CD4441" w:rsidRPr="00B830D0" w:rsidRDefault="00CD4441" w:rsidP="005B5EC8">
      <w:pPr>
        <w:spacing w:before="120" w:after="0" w:line="240" w:lineRule="auto"/>
        <w:jc w:val="both"/>
        <w:rPr>
          <w:sz w:val="24"/>
          <w:szCs w:val="24"/>
          <w:u w:val="single"/>
          <w:lang w:eastAsia="en-US"/>
        </w:rPr>
      </w:pPr>
      <w:r w:rsidRPr="00B830D0">
        <w:rPr>
          <w:sz w:val="24"/>
          <w:szCs w:val="24"/>
          <w:u w:val="single"/>
          <w:lang w:eastAsia="en-US"/>
        </w:rPr>
        <w:t xml:space="preserve">Nové využití systému ECRIS a ECRIS-TCN je tak v některých případech závislé na vůli žadatele o opis nebo výpis z evidence Rejstříku trestů, což se musí odrazil i na podobě samotného formuláře žádosti o opis nebo výpis z evidence Rejstříku trestů. </w:t>
      </w:r>
    </w:p>
    <w:p w14:paraId="396527F3" w14:textId="77777777" w:rsidR="00BA07C5" w:rsidRPr="005B5EC8" w:rsidRDefault="00BA07C5" w:rsidP="005B5EC8">
      <w:pPr>
        <w:spacing w:before="120" w:after="0" w:line="240" w:lineRule="auto"/>
        <w:jc w:val="both"/>
        <w:rPr>
          <w:rFonts w:eastAsia="Times New Roman"/>
          <w:b/>
          <w:bCs/>
          <w:sz w:val="24"/>
          <w:szCs w:val="24"/>
          <w:lang w:eastAsia="en-US"/>
        </w:rPr>
      </w:pPr>
    </w:p>
    <w:p w14:paraId="78BA77BB" w14:textId="77777777" w:rsidR="00BA07C5" w:rsidRPr="005B5EC8" w:rsidRDefault="00BA07C5" w:rsidP="005B5EC8">
      <w:pPr>
        <w:spacing w:before="120" w:after="0" w:line="240" w:lineRule="auto"/>
        <w:jc w:val="both"/>
        <w:rPr>
          <w:sz w:val="24"/>
          <w:szCs w:val="24"/>
        </w:rPr>
      </w:pPr>
      <w:r w:rsidRPr="005B5EC8">
        <w:rPr>
          <w:rFonts w:eastAsia="Times New Roman"/>
          <w:b/>
          <w:bCs/>
          <w:sz w:val="24"/>
          <w:szCs w:val="24"/>
          <w:lang w:eastAsia="en-US"/>
        </w:rPr>
        <w:t>Zhodnocení souladu navrhované právní úpravy se zákonem, k jehož provedení je navržena, včetně souladu se zákonným zmocněním k jejímu vydání, zhodnocení souladu navrhované právní úpravy s předpisy Evropské unie, judikaturou soudních orgánů Evropské unie a obecnými právními zásadami práva Evropské unie</w:t>
      </w:r>
    </w:p>
    <w:p w14:paraId="3C225395" w14:textId="1E86A93A" w:rsidR="00715ACD" w:rsidRPr="005B5EC8" w:rsidRDefault="00BA07C5" w:rsidP="005B5EC8">
      <w:pPr>
        <w:autoSpaceDE w:val="0"/>
        <w:autoSpaceDN w:val="0"/>
        <w:adjustRightInd w:val="0"/>
        <w:spacing w:before="120" w:after="0" w:line="240" w:lineRule="auto"/>
        <w:jc w:val="both"/>
        <w:rPr>
          <w:rFonts w:eastAsia="Times New Roman"/>
          <w:bCs/>
          <w:sz w:val="24"/>
          <w:szCs w:val="24"/>
        </w:rPr>
      </w:pPr>
      <w:r w:rsidRPr="005B5EC8">
        <w:rPr>
          <w:rFonts w:eastAsia="Times New Roman"/>
          <w:bCs/>
          <w:sz w:val="24"/>
          <w:szCs w:val="24"/>
        </w:rPr>
        <w:t xml:space="preserve">Předložený návrh vyhlášky je plně v souladu se zákonem o Rejstříku trestů a upravuje problematiku v rozsahu zákonného zmocnění obsaženého v ustanovení § 17a tohoto zákona, podle něhož Ministerstvo spravedlnosti vydá vyhlášku k provedení § 16 a § 16j odst. 2. Ustanovení § 16 ukládá stanovit </w:t>
      </w:r>
      <w:r w:rsidR="00F83487">
        <w:rPr>
          <w:rFonts w:eastAsia="Times New Roman"/>
          <w:bCs/>
          <w:sz w:val="24"/>
          <w:szCs w:val="24"/>
        </w:rPr>
        <w:t xml:space="preserve">vyhláškou </w:t>
      </w:r>
      <w:r w:rsidRPr="005B5EC8">
        <w:rPr>
          <w:rFonts w:eastAsia="Times New Roman"/>
          <w:bCs/>
          <w:sz w:val="24"/>
          <w:szCs w:val="24"/>
        </w:rPr>
        <w:t>náležitosti formulářů žádosti o opis nebo výpis z</w:t>
      </w:r>
      <w:r w:rsidR="00F83487">
        <w:rPr>
          <w:rFonts w:eastAsia="Times New Roman"/>
          <w:bCs/>
          <w:sz w:val="24"/>
          <w:szCs w:val="24"/>
        </w:rPr>
        <w:t> </w:t>
      </w:r>
      <w:r w:rsidRPr="005B5EC8">
        <w:rPr>
          <w:rFonts w:eastAsia="Times New Roman"/>
          <w:bCs/>
          <w:sz w:val="24"/>
          <w:szCs w:val="24"/>
        </w:rPr>
        <w:t>evidence Rejstříku trestů</w:t>
      </w:r>
      <w:r w:rsidR="00F83487">
        <w:rPr>
          <w:rFonts w:eastAsia="Times New Roman"/>
          <w:bCs/>
          <w:sz w:val="24"/>
          <w:szCs w:val="24"/>
        </w:rPr>
        <w:t xml:space="preserve">, ustanovení </w:t>
      </w:r>
      <w:r w:rsidR="00F83487" w:rsidRPr="005B5EC8">
        <w:rPr>
          <w:rFonts w:eastAsia="Times New Roman"/>
          <w:bCs/>
          <w:sz w:val="24"/>
          <w:szCs w:val="24"/>
        </w:rPr>
        <w:t>§ 16</w:t>
      </w:r>
      <w:r w:rsidR="00F83487">
        <w:rPr>
          <w:rFonts w:eastAsia="Times New Roman"/>
          <w:bCs/>
          <w:sz w:val="24"/>
          <w:szCs w:val="24"/>
        </w:rPr>
        <w:t xml:space="preserve"> odst. 2 pak náležitosti f</w:t>
      </w:r>
      <w:r w:rsidR="00F83487" w:rsidRPr="005B5EC8">
        <w:rPr>
          <w:rFonts w:eastAsia="Times New Roman"/>
          <w:bCs/>
          <w:sz w:val="24"/>
          <w:szCs w:val="24"/>
        </w:rPr>
        <w:t>ormulářů žádosti o opis z</w:t>
      </w:r>
      <w:r w:rsidR="00F83487">
        <w:rPr>
          <w:rFonts w:eastAsia="Times New Roman"/>
          <w:bCs/>
          <w:sz w:val="24"/>
          <w:szCs w:val="24"/>
        </w:rPr>
        <w:t> </w:t>
      </w:r>
      <w:r w:rsidR="00F83487" w:rsidRPr="005B5EC8">
        <w:rPr>
          <w:rFonts w:eastAsia="Times New Roman"/>
          <w:bCs/>
          <w:sz w:val="24"/>
          <w:szCs w:val="24"/>
        </w:rPr>
        <w:t>evidence</w:t>
      </w:r>
      <w:r w:rsidR="00F83487">
        <w:rPr>
          <w:rFonts w:eastAsia="Times New Roman"/>
          <w:bCs/>
          <w:sz w:val="24"/>
          <w:szCs w:val="24"/>
        </w:rPr>
        <w:t xml:space="preserve"> přestupků.</w:t>
      </w:r>
    </w:p>
    <w:p w14:paraId="648628F3" w14:textId="2F221FAA" w:rsidR="00B4375C" w:rsidRPr="005B5EC8" w:rsidRDefault="00715ACD" w:rsidP="005B5EC8">
      <w:pPr>
        <w:autoSpaceDE w:val="0"/>
        <w:autoSpaceDN w:val="0"/>
        <w:adjustRightInd w:val="0"/>
        <w:spacing w:before="120" w:after="0" w:line="240" w:lineRule="auto"/>
        <w:jc w:val="both"/>
        <w:rPr>
          <w:rFonts w:eastAsia="Times New Roman"/>
          <w:bCs/>
          <w:sz w:val="24"/>
          <w:szCs w:val="24"/>
        </w:rPr>
      </w:pPr>
      <w:r w:rsidRPr="005B5EC8">
        <w:rPr>
          <w:rFonts w:eastAsia="Times New Roman"/>
          <w:bCs/>
          <w:sz w:val="24"/>
          <w:szCs w:val="24"/>
        </w:rPr>
        <w:t>Zákon o RT ve znění tisku 86 rozšiřuje možnost</w:t>
      </w:r>
      <w:r w:rsidR="00424E33">
        <w:rPr>
          <w:rFonts w:eastAsia="Times New Roman"/>
          <w:bCs/>
          <w:sz w:val="24"/>
          <w:szCs w:val="24"/>
        </w:rPr>
        <w:t>i, kdy lze</w:t>
      </w:r>
      <w:r w:rsidRPr="005B5EC8">
        <w:rPr>
          <w:rFonts w:eastAsia="Times New Roman"/>
          <w:bCs/>
          <w:sz w:val="24"/>
          <w:szCs w:val="24"/>
        </w:rPr>
        <w:t xml:space="preserve"> žádat</w:t>
      </w:r>
      <w:r w:rsidR="00F45FF0" w:rsidRPr="005B5EC8">
        <w:rPr>
          <w:rFonts w:eastAsia="Times New Roman"/>
          <w:bCs/>
          <w:sz w:val="24"/>
          <w:szCs w:val="24"/>
        </w:rPr>
        <w:t xml:space="preserve">, aby výpis nebo opis z evidence Rejstříku trestů obsahoval i informace o pravomocných odsouzeních fyzické osoby za trestné činy a o navazujících údajích o těchto odsouzeních, které k osobě, které se opis nebo výpis týká, eviduje žadatelem označený členský stát Evropské unie nebo </w:t>
      </w:r>
      <w:r w:rsidR="00F45FF0" w:rsidRPr="00CD4441">
        <w:rPr>
          <w:rFonts w:eastAsia="Times New Roman"/>
          <w:bCs/>
          <w:sz w:val="24"/>
          <w:szCs w:val="24"/>
        </w:rPr>
        <w:t>Spojené království Velké Británie a Severního Irska</w:t>
      </w:r>
      <w:r w:rsidR="00B4375C" w:rsidRPr="005B5EC8">
        <w:rPr>
          <w:rFonts w:eastAsia="Times New Roman"/>
          <w:bCs/>
          <w:sz w:val="24"/>
          <w:szCs w:val="24"/>
        </w:rPr>
        <w:t xml:space="preserve">. </w:t>
      </w:r>
      <w:r w:rsidR="00F45FF0" w:rsidRPr="005B5EC8">
        <w:rPr>
          <w:rFonts w:eastAsia="Times New Roman"/>
          <w:bCs/>
          <w:sz w:val="24"/>
          <w:szCs w:val="24"/>
        </w:rPr>
        <w:t xml:space="preserve">Zákon o RT ve znění tisku 86 dále nově stanoví možnost žádat, aby výpis nebo opis z evidence Rejstříku trestů obsahoval i tyto informace, které k osobě, které se opis nebo výpis týká, eviduje </w:t>
      </w:r>
      <w:r w:rsidRPr="005B5EC8">
        <w:rPr>
          <w:rFonts w:eastAsia="Times New Roman"/>
          <w:bCs/>
          <w:sz w:val="24"/>
          <w:szCs w:val="24"/>
        </w:rPr>
        <w:t>člensk</w:t>
      </w:r>
      <w:r w:rsidR="00F45FF0" w:rsidRPr="005B5EC8">
        <w:rPr>
          <w:rFonts w:eastAsia="Times New Roman"/>
          <w:bCs/>
          <w:sz w:val="24"/>
          <w:szCs w:val="24"/>
        </w:rPr>
        <w:t>ý</w:t>
      </w:r>
      <w:r w:rsidRPr="005B5EC8">
        <w:rPr>
          <w:rFonts w:eastAsia="Times New Roman"/>
          <w:bCs/>
          <w:sz w:val="24"/>
          <w:szCs w:val="24"/>
        </w:rPr>
        <w:t xml:space="preserve"> stát Evropské unie, který podle systému pro identifikaci členských států, které mají informace o předchozích odsouzeních státních příslušníků třetích zemí, eviduje odsouzení této osoby</w:t>
      </w:r>
      <w:r w:rsidR="00F45FF0" w:rsidRPr="005B5EC8">
        <w:rPr>
          <w:rFonts w:eastAsia="Times New Roman"/>
          <w:bCs/>
          <w:sz w:val="24"/>
          <w:szCs w:val="24"/>
        </w:rPr>
        <w:t>,</w:t>
      </w:r>
      <w:r w:rsidRPr="005B5EC8">
        <w:rPr>
          <w:rFonts w:eastAsia="Times New Roman"/>
          <w:bCs/>
          <w:sz w:val="24"/>
          <w:szCs w:val="24"/>
        </w:rPr>
        <w:t xml:space="preserve"> či naopak </w:t>
      </w:r>
      <w:r w:rsidR="00F45FF0" w:rsidRPr="005B5EC8">
        <w:rPr>
          <w:rFonts w:eastAsia="Times New Roman"/>
          <w:bCs/>
          <w:sz w:val="24"/>
          <w:szCs w:val="24"/>
        </w:rPr>
        <w:t xml:space="preserve">toto </w:t>
      </w:r>
      <w:r w:rsidRPr="005B5EC8">
        <w:rPr>
          <w:rFonts w:eastAsia="Times New Roman"/>
          <w:bCs/>
          <w:sz w:val="24"/>
          <w:szCs w:val="24"/>
        </w:rPr>
        <w:t>vyloučit.</w:t>
      </w:r>
      <w:r w:rsidR="00B4375C" w:rsidRPr="005B5EC8">
        <w:rPr>
          <w:rFonts w:eastAsia="Times New Roman"/>
          <w:bCs/>
          <w:sz w:val="24"/>
          <w:szCs w:val="24"/>
        </w:rPr>
        <w:t xml:space="preserve"> Jde tedy o realizaci možností, které poskytuje </w:t>
      </w:r>
      <w:r w:rsidR="00B4375C" w:rsidRPr="00CD4441">
        <w:rPr>
          <w:rFonts w:eastAsia="Times New Roman"/>
          <w:bCs/>
          <w:sz w:val="24"/>
          <w:szCs w:val="24"/>
        </w:rPr>
        <w:t>rámcové rozhodnutí Rady 2009/315/SVV ze dne 26. února 2009 o organizaci a</w:t>
      </w:r>
      <w:r w:rsidR="00B4375C" w:rsidRPr="005B5EC8">
        <w:rPr>
          <w:rFonts w:eastAsia="Times New Roman"/>
          <w:bCs/>
          <w:sz w:val="24"/>
          <w:szCs w:val="24"/>
        </w:rPr>
        <w:t> </w:t>
      </w:r>
      <w:r w:rsidR="00B4375C" w:rsidRPr="00CD4441">
        <w:rPr>
          <w:rFonts w:eastAsia="Times New Roman"/>
          <w:bCs/>
          <w:sz w:val="24"/>
          <w:szCs w:val="24"/>
        </w:rPr>
        <w:t>obsahu výměny informací z rejstříku trestů mezi členskými státy</w:t>
      </w:r>
      <w:r w:rsidR="00B4375C" w:rsidRPr="005B5EC8">
        <w:rPr>
          <w:rFonts w:eastAsia="Times New Roman"/>
          <w:bCs/>
          <w:sz w:val="24"/>
          <w:szCs w:val="24"/>
        </w:rPr>
        <w:t xml:space="preserve"> ve znění </w:t>
      </w:r>
      <w:r w:rsidR="00424E33">
        <w:rPr>
          <w:rFonts w:eastAsia="Times New Roman"/>
          <w:bCs/>
          <w:sz w:val="24"/>
          <w:szCs w:val="24"/>
        </w:rPr>
        <w:t xml:space="preserve">směrnice </w:t>
      </w:r>
      <w:r w:rsidR="00B4375C" w:rsidRPr="005B5EC8">
        <w:rPr>
          <w:rFonts w:eastAsia="Times New Roman"/>
          <w:bCs/>
          <w:sz w:val="24"/>
          <w:szCs w:val="24"/>
        </w:rPr>
        <w:t>Evropského parlamentu a Rady (EU) 2019/884 ze dne 17. dubna 2019, kterou se mění rámcové rozhodnutí Rady 2009/315/SVV, pokud jde o výměnu informací o státních příslušnících třetích zemí a o Evropský informační systém rejstříků trestů (ECRIS), a nahrazuje rozhodnutí Rady 2009/316/SVV</w:t>
      </w:r>
      <w:r w:rsidR="00424E33">
        <w:rPr>
          <w:rFonts w:eastAsia="Times New Roman"/>
          <w:bCs/>
          <w:sz w:val="24"/>
          <w:szCs w:val="24"/>
        </w:rPr>
        <w:t>,</w:t>
      </w:r>
      <w:r w:rsidR="00B4375C" w:rsidRPr="005B5EC8">
        <w:rPr>
          <w:rFonts w:eastAsia="Times New Roman"/>
          <w:bCs/>
          <w:sz w:val="24"/>
          <w:szCs w:val="24"/>
        </w:rPr>
        <w:t xml:space="preserve"> a nařízení Evropského parlamentu a Rady (EU) 2019/816 ze dne 17. dubna 2019, kterým se zřizuje centralizovaný systém pro identifikaci členských států, jež mají informace o odsouzeních státních příslušníků třetích zemí a osob bez státní příslušnosti (ECRIS-TCN), na doplnění Evropského informačního systému rejstříků trestů, a kterým se mění nařízení (EU) 2018/1726</w:t>
      </w:r>
      <w:r w:rsidR="00424E33">
        <w:rPr>
          <w:rFonts w:eastAsia="Times New Roman"/>
          <w:bCs/>
          <w:sz w:val="24"/>
          <w:szCs w:val="24"/>
        </w:rPr>
        <w:t>.</w:t>
      </w:r>
    </w:p>
    <w:p w14:paraId="249034B3" w14:textId="4AABEDBF" w:rsidR="00BA07C5" w:rsidRPr="005B5EC8" w:rsidRDefault="00B4375C" w:rsidP="005B5EC8">
      <w:pPr>
        <w:autoSpaceDE w:val="0"/>
        <w:autoSpaceDN w:val="0"/>
        <w:adjustRightInd w:val="0"/>
        <w:spacing w:before="120" w:after="0" w:line="240" w:lineRule="auto"/>
        <w:jc w:val="both"/>
        <w:rPr>
          <w:rFonts w:eastAsia="Times New Roman"/>
          <w:bCs/>
          <w:sz w:val="24"/>
          <w:szCs w:val="24"/>
        </w:rPr>
      </w:pPr>
      <w:r w:rsidRPr="005B5EC8">
        <w:rPr>
          <w:rFonts w:eastAsia="Times New Roman"/>
          <w:bCs/>
          <w:sz w:val="24"/>
          <w:szCs w:val="24"/>
        </w:rPr>
        <w:t xml:space="preserve">Tyto informace budou poskytovány </w:t>
      </w:r>
      <w:r w:rsidR="00424E33">
        <w:rPr>
          <w:rFonts w:eastAsia="Times New Roman"/>
          <w:bCs/>
          <w:sz w:val="24"/>
          <w:szCs w:val="24"/>
        </w:rPr>
        <w:t>ve formě</w:t>
      </w:r>
      <w:r w:rsidRPr="005B5EC8">
        <w:rPr>
          <w:rFonts w:eastAsia="Times New Roman"/>
          <w:bCs/>
          <w:sz w:val="24"/>
          <w:szCs w:val="24"/>
        </w:rPr>
        <w:t xml:space="preserve"> příloh</w:t>
      </w:r>
      <w:r w:rsidR="00424E33">
        <w:rPr>
          <w:rFonts w:eastAsia="Times New Roman"/>
          <w:bCs/>
          <w:sz w:val="24"/>
          <w:szCs w:val="24"/>
        </w:rPr>
        <w:t>y</w:t>
      </w:r>
      <w:r w:rsidRPr="005B5EC8">
        <w:rPr>
          <w:rFonts w:eastAsia="Times New Roman"/>
          <w:bCs/>
          <w:sz w:val="24"/>
          <w:szCs w:val="24"/>
        </w:rPr>
        <w:t xml:space="preserve"> k výpisu nebo opisu z evidence Rejstříku trestů, </w:t>
      </w:r>
      <w:r w:rsidR="00BA07C5" w:rsidRPr="005B5EC8">
        <w:rPr>
          <w:rFonts w:eastAsia="Times New Roman"/>
          <w:bCs/>
          <w:sz w:val="24"/>
          <w:szCs w:val="24"/>
        </w:rPr>
        <w:t>je </w:t>
      </w:r>
      <w:r w:rsidR="00424E33">
        <w:rPr>
          <w:rFonts w:eastAsia="Times New Roman"/>
          <w:bCs/>
          <w:sz w:val="24"/>
          <w:szCs w:val="24"/>
        </w:rPr>
        <w:t xml:space="preserve">proto </w:t>
      </w:r>
      <w:r w:rsidR="00BA07C5" w:rsidRPr="005B5EC8">
        <w:rPr>
          <w:rFonts w:eastAsia="Times New Roman"/>
          <w:bCs/>
          <w:sz w:val="24"/>
          <w:szCs w:val="24"/>
        </w:rPr>
        <w:t>zapotřebí upravit náležitosti žádost</w:t>
      </w:r>
      <w:r w:rsidR="00543960">
        <w:rPr>
          <w:rFonts w:eastAsia="Times New Roman"/>
          <w:bCs/>
          <w:sz w:val="24"/>
          <w:szCs w:val="24"/>
        </w:rPr>
        <w:t>í</w:t>
      </w:r>
      <w:r w:rsidR="00BA07C5" w:rsidRPr="005B5EC8">
        <w:rPr>
          <w:rFonts w:eastAsia="Times New Roman"/>
          <w:bCs/>
          <w:sz w:val="24"/>
          <w:szCs w:val="24"/>
        </w:rPr>
        <w:t xml:space="preserve"> o vydání </w:t>
      </w:r>
      <w:r w:rsidR="00543960">
        <w:rPr>
          <w:rFonts w:eastAsia="Times New Roman"/>
          <w:bCs/>
          <w:sz w:val="24"/>
          <w:szCs w:val="24"/>
        </w:rPr>
        <w:t xml:space="preserve">opisu nebo </w:t>
      </w:r>
      <w:r w:rsidR="00BA07C5" w:rsidRPr="005B5EC8">
        <w:rPr>
          <w:rFonts w:eastAsia="Times New Roman"/>
          <w:bCs/>
          <w:sz w:val="24"/>
          <w:szCs w:val="24"/>
        </w:rPr>
        <w:t xml:space="preserve">výpisu z evidence Rejstříku trestů tak, aby toto bylo umožněno. </w:t>
      </w:r>
    </w:p>
    <w:p w14:paraId="4B4282EE" w14:textId="2CA4FB7E" w:rsidR="00BA07C5" w:rsidRPr="005B5EC8" w:rsidRDefault="00BA07C5" w:rsidP="005B5EC8">
      <w:pPr>
        <w:autoSpaceDE w:val="0"/>
        <w:autoSpaceDN w:val="0"/>
        <w:adjustRightInd w:val="0"/>
        <w:spacing w:before="120" w:after="0" w:line="240" w:lineRule="auto"/>
        <w:jc w:val="both"/>
        <w:rPr>
          <w:rFonts w:eastAsia="Times New Roman"/>
          <w:bCs/>
          <w:sz w:val="24"/>
          <w:szCs w:val="24"/>
        </w:rPr>
      </w:pPr>
      <w:r w:rsidRPr="005B5EC8">
        <w:rPr>
          <w:rFonts w:eastAsia="Times New Roman"/>
          <w:bCs/>
          <w:sz w:val="24"/>
          <w:szCs w:val="24"/>
        </w:rPr>
        <w:t>Judikatura soudních orgánů Evropské unie ani obecné právní zásady práva Evropské unie se na</w:t>
      </w:r>
      <w:r w:rsidR="00B4375C" w:rsidRPr="005B5EC8">
        <w:rPr>
          <w:rFonts w:eastAsia="Times New Roman"/>
          <w:bCs/>
          <w:sz w:val="24"/>
          <w:szCs w:val="24"/>
        </w:rPr>
        <w:t> </w:t>
      </w:r>
      <w:r w:rsidRPr="005B5EC8">
        <w:rPr>
          <w:rFonts w:eastAsia="Times New Roman"/>
          <w:bCs/>
          <w:sz w:val="24"/>
          <w:szCs w:val="24"/>
        </w:rPr>
        <w:t xml:space="preserve">danou oblast nevztahují. Mezinárodní smlouvy danou problematiku neupravují. Formulář žádosti o </w:t>
      </w:r>
      <w:r w:rsidR="000F428D">
        <w:rPr>
          <w:rFonts w:eastAsia="Times New Roman"/>
          <w:bCs/>
          <w:sz w:val="24"/>
          <w:szCs w:val="24"/>
        </w:rPr>
        <w:t xml:space="preserve">opis nebo </w:t>
      </w:r>
      <w:r w:rsidRPr="005B5EC8">
        <w:rPr>
          <w:rFonts w:eastAsia="Times New Roman"/>
          <w:bCs/>
          <w:sz w:val="24"/>
          <w:szCs w:val="24"/>
        </w:rPr>
        <w:t>výpis z</w:t>
      </w:r>
      <w:r w:rsidR="000F428D">
        <w:rPr>
          <w:rFonts w:eastAsia="Times New Roman"/>
          <w:bCs/>
          <w:sz w:val="24"/>
          <w:szCs w:val="24"/>
        </w:rPr>
        <w:t xml:space="preserve"> evidence </w:t>
      </w:r>
      <w:r w:rsidRPr="005B5EC8">
        <w:rPr>
          <w:rFonts w:eastAsia="Times New Roman"/>
          <w:bCs/>
          <w:sz w:val="24"/>
          <w:szCs w:val="24"/>
        </w:rPr>
        <w:t>Rejstříku trestů a jeho náležitosti neupravuje žádný předpis Evropské unie.</w:t>
      </w:r>
    </w:p>
    <w:p w14:paraId="17B62F90" w14:textId="434B7371" w:rsidR="00B4375C" w:rsidRPr="005B5EC8" w:rsidRDefault="00B4375C" w:rsidP="005B5EC8">
      <w:pPr>
        <w:autoSpaceDE w:val="0"/>
        <w:autoSpaceDN w:val="0"/>
        <w:adjustRightInd w:val="0"/>
        <w:spacing w:before="120" w:after="0" w:line="240" w:lineRule="auto"/>
        <w:jc w:val="both"/>
        <w:rPr>
          <w:rFonts w:eastAsia="Times New Roman"/>
          <w:bCs/>
          <w:sz w:val="24"/>
          <w:szCs w:val="24"/>
        </w:rPr>
      </w:pPr>
    </w:p>
    <w:p w14:paraId="5E854183" w14:textId="353A0D81" w:rsidR="00BA07C5" w:rsidRPr="005B5EC8" w:rsidRDefault="00BA07C5" w:rsidP="005B5EC8">
      <w:pPr>
        <w:spacing w:before="120" w:after="0" w:line="240" w:lineRule="auto"/>
        <w:jc w:val="both"/>
        <w:rPr>
          <w:rFonts w:eastAsia="Times New Roman"/>
          <w:b/>
          <w:sz w:val="24"/>
          <w:szCs w:val="24"/>
        </w:rPr>
      </w:pPr>
      <w:r w:rsidRPr="005B5EC8">
        <w:rPr>
          <w:rFonts w:eastAsia="Times New Roman"/>
          <w:b/>
          <w:sz w:val="24"/>
          <w:szCs w:val="24"/>
        </w:rPr>
        <w:t>Předpokládaný hospodářský a finanční dopad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14:paraId="13E63FE6" w14:textId="31B94B8C" w:rsidR="005B5EC8" w:rsidRPr="005B5EC8" w:rsidRDefault="00B4375C" w:rsidP="005B5EC8">
      <w:pPr>
        <w:spacing w:before="120" w:after="0" w:line="240" w:lineRule="auto"/>
        <w:jc w:val="both"/>
        <w:rPr>
          <w:sz w:val="24"/>
          <w:szCs w:val="24"/>
        </w:rPr>
      </w:pPr>
      <w:r w:rsidRPr="005B5EC8">
        <w:rPr>
          <w:sz w:val="24"/>
          <w:szCs w:val="24"/>
        </w:rPr>
        <w:t>Navrhované změny jsou změn</w:t>
      </w:r>
      <w:r w:rsidR="00161C07">
        <w:rPr>
          <w:sz w:val="24"/>
          <w:szCs w:val="24"/>
        </w:rPr>
        <w:t>ami</w:t>
      </w:r>
      <w:r w:rsidRPr="005B5EC8">
        <w:rPr>
          <w:sz w:val="24"/>
          <w:szCs w:val="24"/>
        </w:rPr>
        <w:t>, které souvisí s napojením na nově vznikající evropský systém ECRIS-TCN. Vyčíslení dopadů, které jsou s tímto novým systém</w:t>
      </w:r>
      <w:r w:rsidR="00161C07">
        <w:rPr>
          <w:sz w:val="24"/>
          <w:szCs w:val="24"/>
        </w:rPr>
        <w:t>em</w:t>
      </w:r>
      <w:r w:rsidRPr="005B5EC8">
        <w:rPr>
          <w:sz w:val="24"/>
          <w:szCs w:val="24"/>
        </w:rPr>
        <w:t xml:space="preserve"> spojeny, je provedeno v adaptační novele zákona o RT (v tisku 86), tyto náklady jsou přitom spojeny bezprostředně s přímo aplikovatelným nařízením ECRIS-TCN, tj. bylo by je zapotřebí vynaložit i v případě, pokud by se vyhodnotilo, že k provedení tohoto nařízení není zapotřebí přijímat žádnou adaptační legislativu. Jak se uvádí v důvodové zprávě k tisku 86, </w:t>
      </w:r>
      <w:r w:rsidR="005B5EC8" w:rsidRPr="005B5EC8">
        <w:rPr>
          <w:sz w:val="24"/>
          <w:szCs w:val="24"/>
        </w:rPr>
        <w:t>„</w:t>
      </w:r>
      <w:r w:rsidRPr="006E5726">
        <w:rPr>
          <w:i/>
          <w:iCs/>
          <w:sz w:val="24"/>
          <w:szCs w:val="24"/>
        </w:rPr>
        <w:t>výdaje Rejstříku trestů</w:t>
      </w:r>
      <w:r w:rsidR="00037E1E" w:rsidRPr="006E5726">
        <w:rPr>
          <w:i/>
          <w:iCs/>
          <w:sz w:val="24"/>
          <w:szCs w:val="24"/>
        </w:rPr>
        <w:t> </w:t>
      </w:r>
      <w:r w:rsidRPr="006E5726">
        <w:rPr>
          <w:i/>
          <w:iCs/>
          <w:sz w:val="24"/>
          <w:szCs w:val="24"/>
        </w:rPr>
        <w:t>napojení na systém ECRIS-TCN budou kryty ze zdrojů Integrovaného regionálního operačního programu (IROP), přičemž z tohoto zdroje nebude kryto pouze napojení stávajícího systému Rejstříku trestů na uvedený systému, ale kompletně nový informační systém Rejstříku trestů, jehož bude napojení na ECRIS-TCN součástí. Finanční prostředky IROP jsou rozděleny na dvě části, jednak dotace z EU, která činí 12 000 000 Kč, a</w:t>
      </w:r>
      <w:r w:rsidR="00161C07" w:rsidRPr="006E5726">
        <w:rPr>
          <w:i/>
          <w:iCs/>
          <w:sz w:val="24"/>
          <w:szCs w:val="24"/>
        </w:rPr>
        <w:t> </w:t>
      </w:r>
      <w:r w:rsidRPr="006E5726">
        <w:rPr>
          <w:i/>
          <w:iCs/>
          <w:sz w:val="24"/>
          <w:szCs w:val="24"/>
        </w:rPr>
        <w:t>jednak spolufinancování ze státního rozpočtu, které činí 3 000 000 Kč. Uvedený podíl státního rozpočtu bude kryt z prostředků stávajícího rozpočtu a Ministerstvo spravedlnosti tedy nebude v souvislosti s projektem, tedy ani s přípravou na napojení na systém ECRIS-TCN, požadovat jeho dodatečné navýšení</w:t>
      </w:r>
      <w:r w:rsidR="005B5EC8" w:rsidRPr="005B5EC8">
        <w:rPr>
          <w:sz w:val="24"/>
          <w:szCs w:val="24"/>
        </w:rPr>
        <w:t>“</w:t>
      </w:r>
      <w:r w:rsidRPr="005B5EC8">
        <w:rPr>
          <w:sz w:val="24"/>
          <w:szCs w:val="24"/>
        </w:rPr>
        <w:t>.</w:t>
      </w:r>
      <w:r w:rsidR="005B5EC8" w:rsidRPr="005B5EC8">
        <w:rPr>
          <w:sz w:val="24"/>
          <w:szCs w:val="24"/>
        </w:rPr>
        <w:t xml:space="preserve"> Toto vyčíslení v sobě zahrnuje i navrhované doplnění formulářů, které je předmětem předkládané novelizace vyhlášky č. 227/2016 Sb. </w:t>
      </w:r>
    </w:p>
    <w:p w14:paraId="63D96B4E" w14:textId="2C940E9B" w:rsidR="00BA07C5" w:rsidRPr="005B5EC8" w:rsidRDefault="00BA07C5" w:rsidP="005B5EC8">
      <w:pPr>
        <w:spacing w:before="120" w:after="0" w:line="240" w:lineRule="auto"/>
        <w:jc w:val="both"/>
        <w:rPr>
          <w:sz w:val="24"/>
          <w:szCs w:val="24"/>
        </w:rPr>
      </w:pPr>
      <w:r w:rsidRPr="005B5EC8">
        <w:rPr>
          <w:sz w:val="24"/>
          <w:szCs w:val="24"/>
        </w:rPr>
        <w:t xml:space="preserve">Sociální dopady, dopady na podnikatelské prostředí, na rodiny ani dopady na specifické skupiny obyvatel nebo na životní prostředí návrh nevyvolává. </w:t>
      </w:r>
    </w:p>
    <w:p w14:paraId="26F67DEF" w14:textId="77777777" w:rsidR="00BA07C5" w:rsidRPr="005B5EC8" w:rsidRDefault="00BA07C5" w:rsidP="005B5EC8">
      <w:pPr>
        <w:spacing w:before="120" w:after="0" w:line="240" w:lineRule="auto"/>
        <w:jc w:val="both"/>
        <w:outlineLvl w:val="4"/>
        <w:rPr>
          <w:b/>
          <w:sz w:val="24"/>
          <w:szCs w:val="24"/>
          <w:lang w:eastAsia="en-US"/>
        </w:rPr>
      </w:pPr>
    </w:p>
    <w:p w14:paraId="5949F132" w14:textId="43CAED06" w:rsidR="00BA07C5" w:rsidRPr="005B5EC8" w:rsidRDefault="00BA07C5" w:rsidP="005546A6">
      <w:pPr>
        <w:spacing w:before="120" w:after="0" w:line="240" w:lineRule="auto"/>
        <w:jc w:val="both"/>
        <w:textAlignment w:val="center"/>
        <w:rPr>
          <w:b/>
          <w:sz w:val="24"/>
          <w:szCs w:val="24"/>
          <w:lang w:eastAsia="en-US"/>
        </w:rPr>
      </w:pPr>
      <w:r w:rsidRPr="005B5EC8">
        <w:rPr>
          <w:b/>
          <w:sz w:val="24"/>
          <w:szCs w:val="24"/>
          <w:lang w:eastAsia="en-US"/>
        </w:rPr>
        <w:t>Zhodnocení současného stavu a dopadů navrhovaného řešení ve vztahu k zákazu diskriminace</w:t>
      </w:r>
      <w:r w:rsidR="005546A6" w:rsidRPr="005546A6">
        <w:rPr>
          <w:b/>
          <w:sz w:val="24"/>
          <w:szCs w:val="24"/>
          <w:lang w:eastAsia="en-US"/>
        </w:rPr>
        <w:t xml:space="preserve"> a ve vztahu k rovnosti mužů a žen </w:t>
      </w:r>
    </w:p>
    <w:p w14:paraId="04B6EDEC" w14:textId="77777777" w:rsidR="00BA07C5" w:rsidRPr="005B5EC8" w:rsidRDefault="00BA07C5" w:rsidP="005B5EC8">
      <w:pPr>
        <w:spacing w:before="120" w:after="0" w:line="240" w:lineRule="auto"/>
        <w:jc w:val="both"/>
        <w:rPr>
          <w:rFonts w:eastAsia="Times New Roman"/>
          <w:sz w:val="24"/>
          <w:szCs w:val="24"/>
        </w:rPr>
      </w:pPr>
      <w:r w:rsidRPr="005B5EC8">
        <w:rPr>
          <w:rFonts w:eastAsia="Times New Roman"/>
          <w:sz w:val="24"/>
          <w:szCs w:val="24"/>
        </w:rPr>
        <w:t xml:space="preserve">Navrhovaná právní úprava není v rozporu a nestanovuje odchylky ve vztahu k zákazu diskriminace, nezavádí žádné rozdíly na základě pohlaví, rasy, barvy pleti, jazyka, víry </w:t>
      </w:r>
      <w:r w:rsidRPr="005B5EC8">
        <w:rPr>
          <w:rFonts w:eastAsia="Times New Roman"/>
          <w:sz w:val="24"/>
          <w:szCs w:val="24"/>
        </w:rPr>
        <w:br/>
        <w:t>a náboženství, politického či jiného smýšlení, národního nebo sociálního původu, příslušnosti k národnostní nebo etnické menšině, majetku, rodu nebo jiného postavení. Navrhovaná právní úprava není rovněž v rozporu se zákonem č. 198/2009 Sb., o rovném zacházení a o právních prostředcích ochrany před diskriminací a o změně některých zákonů (antidiskriminační zákon).</w:t>
      </w:r>
    </w:p>
    <w:p w14:paraId="78D239A4" w14:textId="77777777" w:rsidR="00BA07C5" w:rsidRPr="005B5EC8" w:rsidRDefault="00BA07C5" w:rsidP="005B5EC8">
      <w:pPr>
        <w:spacing w:before="120" w:after="0" w:line="240" w:lineRule="auto"/>
        <w:jc w:val="both"/>
        <w:rPr>
          <w:rFonts w:eastAsia="Times New Roman"/>
          <w:sz w:val="24"/>
          <w:szCs w:val="24"/>
          <w:lang w:eastAsia="en-US"/>
        </w:rPr>
      </w:pPr>
      <w:r w:rsidRPr="005B5EC8">
        <w:rPr>
          <w:rFonts w:eastAsia="Times New Roman"/>
          <w:sz w:val="24"/>
          <w:szCs w:val="24"/>
          <w:lang w:eastAsia="en-US"/>
        </w:rPr>
        <w:t>Ve vztahu k rovnosti pohlaví navrhovaná právní úprava nemá bezprostřední, ani sekundární dopady na rovnost mužů a žen a nevede k diskriminaci jednoho z pohlaví, neboť nijak nerozlišuje, ani nezvýhodňuje jedno z pohlaví a nestanoví pro ně odlišné podmínky.</w:t>
      </w:r>
    </w:p>
    <w:p w14:paraId="33FA50A6" w14:textId="4701147E" w:rsidR="00BA07C5" w:rsidRDefault="00BA07C5" w:rsidP="005B5EC8">
      <w:pPr>
        <w:spacing w:before="120" w:after="0" w:line="240" w:lineRule="auto"/>
        <w:jc w:val="both"/>
        <w:rPr>
          <w:rFonts w:eastAsia="Times New Roman"/>
          <w:b/>
          <w:iCs/>
          <w:sz w:val="24"/>
          <w:szCs w:val="24"/>
        </w:rPr>
      </w:pPr>
    </w:p>
    <w:p w14:paraId="0F7C0ADB" w14:textId="24B9284F" w:rsidR="00161C07" w:rsidRDefault="00161C07" w:rsidP="005B5EC8">
      <w:pPr>
        <w:spacing w:before="120" w:after="0" w:line="240" w:lineRule="auto"/>
        <w:jc w:val="both"/>
        <w:rPr>
          <w:rFonts w:eastAsia="Times New Roman"/>
          <w:b/>
          <w:iCs/>
          <w:sz w:val="24"/>
          <w:szCs w:val="24"/>
        </w:rPr>
      </w:pPr>
    </w:p>
    <w:p w14:paraId="6E4C33BE" w14:textId="77777777" w:rsidR="00161C07" w:rsidRPr="005B5EC8" w:rsidRDefault="00161C07" w:rsidP="005B5EC8">
      <w:pPr>
        <w:spacing w:before="120" w:after="0" w:line="240" w:lineRule="auto"/>
        <w:jc w:val="both"/>
        <w:rPr>
          <w:rFonts w:eastAsia="Times New Roman"/>
          <w:b/>
          <w:iCs/>
          <w:sz w:val="24"/>
          <w:szCs w:val="24"/>
        </w:rPr>
      </w:pPr>
    </w:p>
    <w:p w14:paraId="24F4C4C0" w14:textId="77777777" w:rsidR="00BA07C5" w:rsidRPr="005B5EC8" w:rsidRDefault="00BA07C5" w:rsidP="005B5EC8">
      <w:pPr>
        <w:spacing w:before="120" w:after="0" w:line="240" w:lineRule="auto"/>
        <w:jc w:val="both"/>
        <w:rPr>
          <w:rFonts w:eastAsia="Times New Roman"/>
          <w:b/>
          <w:iCs/>
          <w:sz w:val="24"/>
          <w:szCs w:val="24"/>
        </w:rPr>
      </w:pPr>
      <w:r w:rsidRPr="005B5EC8">
        <w:rPr>
          <w:rFonts w:eastAsia="Times New Roman"/>
          <w:b/>
          <w:iCs/>
          <w:sz w:val="24"/>
          <w:szCs w:val="24"/>
        </w:rPr>
        <w:t>Zhodnocení dopadů navrhovaného řešení ve vztahu k ochraně soukromí a osobních údajů</w:t>
      </w:r>
    </w:p>
    <w:p w14:paraId="5D2CC86C" w14:textId="5A63BDB9" w:rsidR="00BA07C5" w:rsidRPr="005B5EC8" w:rsidRDefault="00BA07C5" w:rsidP="005B5EC8">
      <w:pPr>
        <w:spacing w:before="120" w:after="0" w:line="240" w:lineRule="auto"/>
        <w:jc w:val="both"/>
        <w:rPr>
          <w:rFonts w:eastAsia="Times New Roman"/>
          <w:sz w:val="24"/>
          <w:szCs w:val="24"/>
          <w:lang w:eastAsia="en-US"/>
        </w:rPr>
      </w:pPr>
      <w:r w:rsidRPr="005B5EC8">
        <w:rPr>
          <w:rFonts w:eastAsia="Times New Roman"/>
          <w:sz w:val="24"/>
          <w:szCs w:val="24"/>
          <w:lang w:eastAsia="en-US"/>
        </w:rPr>
        <w:t>Předložený návrh se specificky nedotýká ochrany soukromí a osobních údajů a v této oblasti stávající úpravu nikterak nemění, tudíž se dopady na problematiku ochrany soukromí a osobních údajů nepředpokládají. Navrhovaná právní úprava je v souladu se zákonem č.</w:t>
      </w:r>
      <w:r w:rsidR="00161C07">
        <w:rPr>
          <w:sz w:val="24"/>
          <w:szCs w:val="24"/>
        </w:rPr>
        <w:t> </w:t>
      </w:r>
      <w:r w:rsidR="005B5EC8" w:rsidRPr="005B5EC8">
        <w:rPr>
          <w:sz w:val="24"/>
          <w:szCs w:val="24"/>
        </w:rPr>
        <w:t>110/2019 Sb., o zpracování osobních údajů</w:t>
      </w:r>
      <w:r w:rsidRPr="005B5EC8">
        <w:rPr>
          <w:rFonts w:eastAsia="Times New Roman"/>
          <w:sz w:val="24"/>
          <w:szCs w:val="24"/>
          <w:lang w:eastAsia="en-US"/>
        </w:rPr>
        <w:t>.</w:t>
      </w:r>
    </w:p>
    <w:p w14:paraId="1A11CCCD" w14:textId="77777777" w:rsidR="00BA07C5" w:rsidRPr="005B5EC8" w:rsidRDefault="00BA07C5" w:rsidP="005B5EC8">
      <w:pPr>
        <w:spacing w:before="120" w:after="0" w:line="240" w:lineRule="auto"/>
        <w:jc w:val="both"/>
        <w:outlineLvl w:val="4"/>
        <w:rPr>
          <w:rFonts w:eastAsia="Times New Roman"/>
          <w:b/>
          <w:bCs/>
          <w:iCs/>
          <w:sz w:val="24"/>
          <w:szCs w:val="24"/>
          <w:lang w:eastAsia="en-US"/>
        </w:rPr>
      </w:pPr>
    </w:p>
    <w:p w14:paraId="37EA87B9" w14:textId="77777777" w:rsidR="00BA07C5" w:rsidRPr="005B5EC8" w:rsidRDefault="00BA07C5" w:rsidP="005B5EC8">
      <w:pPr>
        <w:spacing w:before="120" w:after="0" w:line="240" w:lineRule="auto"/>
        <w:jc w:val="both"/>
        <w:outlineLvl w:val="4"/>
        <w:rPr>
          <w:rFonts w:eastAsia="Times New Roman"/>
          <w:b/>
          <w:bCs/>
          <w:iCs/>
          <w:sz w:val="24"/>
          <w:szCs w:val="24"/>
          <w:lang w:eastAsia="en-US"/>
        </w:rPr>
      </w:pPr>
      <w:r w:rsidRPr="005B5EC8">
        <w:rPr>
          <w:rFonts w:eastAsia="Times New Roman"/>
          <w:b/>
          <w:bCs/>
          <w:iCs/>
          <w:sz w:val="24"/>
          <w:szCs w:val="24"/>
          <w:lang w:eastAsia="en-US"/>
        </w:rPr>
        <w:t>Z</w:t>
      </w:r>
      <w:r w:rsidRPr="005B5EC8">
        <w:rPr>
          <w:rFonts w:eastAsia="Times New Roman"/>
          <w:b/>
          <w:bCs/>
          <w:sz w:val="24"/>
          <w:szCs w:val="24"/>
          <w:lang w:eastAsia="en-US"/>
        </w:rPr>
        <w:t>hodnocení korupčních rizik (CIA)</w:t>
      </w:r>
    </w:p>
    <w:p w14:paraId="3B65A756" w14:textId="77777777" w:rsidR="00BA07C5" w:rsidRPr="005B5EC8" w:rsidRDefault="00BA07C5" w:rsidP="005B5EC8">
      <w:pPr>
        <w:spacing w:before="120" w:after="0" w:line="240" w:lineRule="auto"/>
        <w:jc w:val="both"/>
        <w:rPr>
          <w:sz w:val="24"/>
          <w:szCs w:val="24"/>
        </w:rPr>
      </w:pPr>
      <w:r w:rsidRPr="005B5EC8">
        <w:rPr>
          <w:sz w:val="24"/>
          <w:szCs w:val="24"/>
        </w:rPr>
        <w:t>S navrhovanou úpravou nejsou spojena žádná korupční rizika.</w:t>
      </w:r>
    </w:p>
    <w:p w14:paraId="1DDD80A4" w14:textId="77777777" w:rsidR="005B5EC8" w:rsidRPr="005B5EC8" w:rsidRDefault="005B5EC8" w:rsidP="005B5EC8">
      <w:pPr>
        <w:spacing w:before="120" w:after="0" w:line="240" w:lineRule="auto"/>
        <w:jc w:val="both"/>
        <w:rPr>
          <w:b/>
          <w:sz w:val="24"/>
          <w:szCs w:val="24"/>
        </w:rPr>
      </w:pPr>
    </w:p>
    <w:p w14:paraId="45D173FF" w14:textId="35D740CB" w:rsidR="00BA07C5" w:rsidRPr="005B5EC8" w:rsidRDefault="00BA07C5" w:rsidP="005B5EC8">
      <w:pPr>
        <w:spacing w:before="120" w:after="0" w:line="240" w:lineRule="auto"/>
        <w:jc w:val="both"/>
        <w:rPr>
          <w:b/>
          <w:sz w:val="24"/>
          <w:szCs w:val="24"/>
        </w:rPr>
      </w:pPr>
      <w:r w:rsidRPr="005B5EC8">
        <w:rPr>
          <w:b/>
          <w:sz w:val="24"/>
          <w:szCs w:val="24"/>
        </w:rPr>
        <w:t>Zhodnocení dopadů na bezpečnost nebo obranu státu</w:t>
      </w:r>
    </w:p>
    <w:p w14:paraId="0F5BCABE" w14:textId="761B2FD7" w:rsidR="00BA07C5" w:rsidRPr="005B5EC8" w:rsidRDefault="00BA07C5" w:rsidP="005B5EC8">
      <w:pPr>
        <w:spacing w:before="120" w:after="0" w:line="240" w:lineRule="auto"/>
        <w:jc w:val="both"/>
        <w:rPr>
          <w:sz w:val="24"/>
          <w:szCs w:val="24"/>
        </w:rPr>
      </w:pPr>
      <w:r w:rsidRPr="005B5EC8">
        <w:rPr>
          <w:sz w:val="24"/>
          <w:szCs w:val="24"/>
        </w:rPr>
        <w:t xml:space="preserve">S navrhovanou úpravou nejsou spojeny žádné dopady na bezpečnost nebo obranu státu; návrh pouze realizuje příslušné zákonné zmocnění, pokud jde o podávání žádostí o </w:t>
      </w:r>
      <w:r w:rsidR="006E5726">
        <w:rPr>
          <w:sz w:val="24"/>
          <w:szCs w:val="24"/>
        </w:rPr>
        <w:t xml:space="preserve">opis nebo </w:t>
      </w:r>
      <w:r w:rsidRPr="005B5EC8">
        <w:rPr>
          <w:sz w:val="24"/>
          <w:szCs w:val="24"/>
        </w:rPr>
        <w:t xml:space="preserve">výpis z evidence Rejstříku trestů. </w:t>
      </w:r>
    </w:p>
    <w:p w14:paraId="4F7D8AFA" w14:textId="77777777" w:rsidR="00BA07C5" w:rsidRPr="005B5EC8" w:rsidRDefault="00BA07C5" w:rsidP="005B5EC8">
      <w:pPr>
        <w:spacing w:before="120" w:after="0" w:line="240" w:lineRule="auto"/>
        <w:jc w:val="both"/>
        <w:outlineLvl w:val="4"/>
        <w:rPr>
          <w:rFonts w:eastAsia="Times New Roman"/>
          <w:b/>
          <w:bCs/>
          <w:iCs/>
          <w:sz w:val="24"/>
          <w:szCs w:val="24"/>
          <w:lang w:eastAsia="en-US"/>
        </w:rPr>
      </w:pPr>
    </w:p>
    <w:p w14:paraId="1E497C41" w14:textId="77777777" w:rsidR="00BA07C5" w:rsidRPr="005B5EC8" w:rsidRDefault="00BA07C5" w:rsidP="005B5EC8">
      <w:pPr>
        <w:spacing w:before="120" w:after="0" w:line="240" w:lineRule="auto"/>
        <w:jc w:val="both"/>
        <w:outlineLvl w:val="4"/>
        <w:rPr>
          <w:rFonts w:eastAsia="Times New Roman"/>
          <w:b/>
          <w:bCs/>
          <w:iCs/>
          <w:sz w:val="24"/>
          <w:szCs w:val="24"/>
          <w:lang w:eastAsia="en-US"/>
        </w:rPr>
      </w:pPr>
      <w:r w:rsidRPr="005B5EC8">
        <w:rPr>
          <w:rFonts w:eastAsia="Times New Roman"/>
          <w:b/>
          <w:bCs/>
          <w:iCs/>
          <w:sz w:val="24"/>
          <w:szCs w:val="24"/>
          <w:lang w:eastAsia="en-US"/>
        </w:rPr>
        <w:t>Závěrečná zpráva z hodnocení dopadů regulace (RIA)</w:t>
      </w:r>
    </w:p>
    <w:p w14:paraId="04307E84" w14:textId="7957EC7A" w:rsidR="00BA07C5" w:rsidRPr="005B5EC8" w:rsidRDefault="00BA07C5" w:rsidP="005B5EC8">
      <w:pPr>
        <w:spacing w:before="120" w:after="0" w:line="240" w:lineRule="auto"/>
        <w:jc w:val="both"/>
        <w:rPr>
          <w:sz w:val="24"/>
          <w:szCs w:val="24"/>
        </w:rPr>
      </w:pPr>
      <w:r w:rsidRPr="005B5EC8">
        <w:rPr>
          <w:rFonts w:eastAsia="Times New Roman"/>
          <w:bCs/>
          <w:color w:val="000000"/>
          <w:sz w:val="24"/>
          <w:szCs w:val="24"/>
        </w:rPr>
        <w:t>V souladu s</w:t>
      </w:r>
      <w:r w:rsidR="00016C49">
        <w:rPr>
          <w:rFonts w:eastAsia="Times New Roman"/>
          <w:bCs/>
          <w:color w:val="000000"/>
          <w:sz w:val="24"/>
          <w:szCs w:val="24"/>
        </w:rPr>
        <w:t xml:space="preserve"> Rámcovým plánem </w:t>
      </w:r>
      <w:r w:rsidRPr="005B5EC8">
        <w:rPr>
          <w:rFonts w:eastAsia="Times New Roman"/>
          <w:bCs/>
          <w:color w:val="000000"/>
          <w:sz w:val="24"/>
          <w:szCs w:val="24"/>
        </w:rPr>
        <w:t>přípravy vyhlášek ústředními orgány státní správy na rok 20</w:t>
      </w:r>
      <w:r w:rsidR="005B5EC8" w:rsidRPr="005B5EC8">
        <w:rPr>
          <w:rFonts w:eastAsia="Times New Roman"/>
          <w:bCs/>
          <w:color w:val="000000"/>
          <w:sz w:val="24"/>
          <w:szCs w:val="24"/>
        </w:rPr>
        <w:t>22</w:t>
      </w:r>
      <w:r w:rsidRPr="005B5EC8">
        <w:rPr>
          <w:rFonts w:eastAsia="Times New Roman"/>
          <w:bCs/>
          <w:color w:val="000000"/>
          <w:sz w:val="24"/>
          <w:szCs w:val="24"/>
        </w:rPr>
        <w:t xml:space="preserve"> </w:t>
      </w:r>
      <w:r w:rsidRPr="005B5EC8">
        <w:rPr>
          <w:sz w:val="24"/>
          <w:szCs w:val="24"/>
        </w:rPr>
        <w:t xml:space="preserve">nebyla analýza RIA </w:t>
      </w:r>
      <w:r w:rsidR="006E5726">
        <w:rPr>
          <w:sz w:val="24"/>
          <w:szCs w:val="24"/>
        </w:rPr>
        <w:t>z</w:t>
      </w:r>
      <w:r w:rsidRPr="005B5EC8">
        <w:rPr>
          <w:sz w:val="24"/>
          <w:szCs w:val="24"/>
        </w:rPr>
        <w:t>pracována.</w:t>
      </w:r>
    </w:p>
    <w:p w14:paraId="53724A92" w14:textId="77777777" w:rsidR="00BA07C5" w:rsidRPr="005B5EC8" w:rsidRDefault="00BA07C5" w:rsidP="005B5EC8">
      <w:pPr>
        <w:spacing w:before="120" w:after="0" w:line="240" w:lineRule="auto"/>
        <w:jc w:val="both"/>
        <w:rPr>
          <w:sz w:val="24"/>
          <w:szCs w:val="24"/>
        </w:rPr>
      </w:pPr>
    </w:p>
    <w:p w14:paraId="62A39ADA" w14:textId="77777777" w:rsidR="00BA07C5" w:rsidRPr="005B5EC8" w:rsidRDefault="00BA07C5" w:rsidP="005B5EC8">
      <w:pPr>
        <w:spacing w:before="120" w:after="0" w:line="240" w:lineRule="auto"/>
        <w:jc w:val="center"/>
        <w:rPr>
          <w:rFonts w:eastAsia="Times New Roman"/>
          <w:b/>
          <w:sz w:val="24"/>
          <w:szCs w:val="24"/>
          <w:u w:val="single"/>
        </w:rPr>
      </w:pPr>
    </w:p>
    <w:p w14:paraId="397898E7" w14:textId="01FC3CC9" w:rsidR="00BA07C5" w:rsidRPr="005B5EC8" w:rsidRDefault="005546A6" w:rsidP="005B5EC8">
      <w:pPr>
        <w:spacing w:before="120" w:after="0" w:line="240" w:lineRule="auto"/>
        <w:jc w:val="center"/>
        <w:rPr>
          <w:rFonts w:eastAsia="Times New Roman"/>
          <w:b/>
          <w:sz w:val="24"/>
          <w:szCs w:val="24"/>
        </w:rPr>
      </w:pPr>
      <w:r>
        <w:rPr>
          <w:rFonts w:eastAsia="Times New Roman"/>
          <w:b/>
          <w:sz w:val="24"/>
          <w:szCs w:val="24"/>
        </w:rPr>
        <w:t xml:space="preserve">B. </w:t>
      </w:r>
      <w:r w:rsidR="00BA07C5" w:rsidRPr="005B5EC8">
        <w:rPr>
          <w:rFonts w:eastAsia="Times New Roman"/>
          <w:b/>
          <w:sz w:val="24"/>
          <w:szCs w:val="24"/>
        </w:rPr>
        <w:t>Zvláštní část</w:t>
      </w:r>
    </w:p>
    <w:p w14:paraId="16559E86" w14:textId="77777777" w:rsidR="00BA07C5" w:rsidRPr="005B5EC8" w:rsidRDefault="00BA07C5" w:rsidP="005B5EC8">
      <w:pPr>
        <w:spacing w:before="120" w:after="0" w:line="240" w:lineRule="auto"/>
        <w:jc w:val="both"/>
        <w:rPr>
          <w:sz w:val="24"/>
          <w:szCs w:val="24"/>
        </w:rPr>
      </w:pPr>
      <w:r w:rsidRPr="005B5EC8">
        <w:rPr>
          <w:sz w:val="24"/>
          <w:szCs w:val="24"/>
        </w:rPr>
        <w:t>K čl. I</w:t>
      </w:r>
    </w:p>
    <w:p w14:paraId="70FAA7F1" w14:textId="6F355625" w:rsidR="00135D2E" w:rsidRPr="008D4683" w:rsidRDefault="002E17A7" w:rsidP="005B5EC8">
      <w:pPr>
        <w:spacing w:before="120" w:after="0" w:line="240" w:lineRule="auto"/>
        <w:jc w:val="both"/>
        <w:rPr>
          <w:sz w:val="24"/>
          <w:szCs w:val="24"/>
          <w:u w:val="single"/>
        </w:rPr>
      </w:pPr>
      <w:r w:rsidRPr="008D4683">
        <w:rPr>
          <w:sz w:val="24"/>
          <w:szCs w:val="24"/>
          <w:u w:val="single"/>
        </w:rPr>
        <w:t>K bod</w:t>
      </w:r>
      <w:r w:rsidR="008D4683" w:rsidRPr="008D4683">
        <w:rPr>
          <w:sz w:val="24"/>
          <w:szCs w:val="24"/>
          <w:u w:val="single"/>
        </w:rPr>
        <w:t>u</w:t>
      </w:r>
      <w:r w:rsidRPr="008D4683">
        <w:rPr>
          <w:sz w:val="24"/>
          <w:szCs w:val="24"/>
          <w:u w:val="single"/>
        </w:rPr>
        <w:t xml:space="preserve"> </w:t>
      </w:r>
      <w:r w:rsidR="00135D2E" w:rsidRPr="008D4683">
        <w:rPr>
          <w:sz w:val="24"/>
          <w:szCs w:val="24"/>
          <w:u w:val="single"/>
        </w:rPr>
        <w:t xml:space="preserve">1 </w:t>
      </w:r>
      <w:r w:rsidR="008D4683" w:rsidRPr="008D4683">
        <w:rPr>
          <w:sz w:val="24"/>
          <w:szCs w:val="24"/>
          <w:u w:val="single"/>
        </w:rPr>
        <w:t>[</w:t>
      </w:r>
      <w:r w:rsidR="00135D2E" w:rsidRPr="008D4683">
        <w:rPr>
          <w:sz w:val="24"/>
          <w:szCs w:val="24"/>
          <w:u w:val="single"/>
        </w:rPr>
        <w:t>§ 1 písm. b) a c)</w:t>
      </w:r>
      <w:r w:rsidR="008D4683" w:rsidRPr="008D4683">
        <w:rPr>
          <w:sz w:val="24"/>
          <w:szCs w:val="24"/>
          <w:u w:val="single"/>
        </w:rPr>
        <w:t>]</w:t>
      </w:r>
    </w:p>
    <w:p w14:paraId="083CD033" w14:textId="7D5CFF97" w:rsidR="00686243" w:rsidRDefault="00686243" w:rsidP="005B5EC8">
      <w:pPr>
        <w:spacing w:before="120" w:after="0" w:line="240" w:lineRule="auto"/>
        <w:jc w:val="both"/>
        <w:rPr>
          <w:sz w:val="24"/>
          <w:szCs w:val="24"/>
        </w:rPr>
      </w:pPr>
      <w:r>
        <w:rPr>
          <w:sz w:val="24"/>
          <w:szCs w:val="24"/>
        </w:rPr>
        <w:t>Dosavadní úprava počítá pouze s kolonkami pro adresu pro doručování, výslovně tedy nepočítá s možností zasílat výstupy z evidencí vedených Rejstříkem trestů do datové schránky. Pro</w:t>
      </w:r>
      <w:r w:rsidR="00016C49">
        <w:rPr>
          <w:sz w:val="24"/>
          <w:szCs w:val="24"/>
        </w:rPr>
        <w:t> </w:t>
      </w:r>
      <w:r>
        <w:rPr>
          <w:sz w:val="24"/>
          <w:szCs w:val="24"/>
        </w:rPr>
        <w:t>případy, kdy nelze vyhotovit požadovaný výstup neprodleně (</w:t>
      </w:r>
      <w:r w:rsidRPr="00037E1E">
        <w:rPr>
          <w:sz w:val="24"/>
          <w:szCs w:val="24"/>
        </w:rPr>
        <w:t xml:space="preserve">je-li zapotřebí pro účely vydání výpisu nebo opisu z evidence Rejstříku trestů prověřit totožnost osoby žádající o výpis </w:t>
      </w:r>
      <w:r w:rsidR="00037E1E" w:rsidRPr="00037E1E">
        <w:rPr>
          <w:sz w:val="24"/>
          <w:szCs w:val="24"/>
        </w:rPr>
        <w:t xml:space="preserve">nebo výpis </w:t>
      </w:r>
      <w:r w:rsidRPr="00037E1E">
        <w:rPr>
          <w:sz w:val="24"/>
          <w:szCs w:val="24"/>
        </w:rPr>
        <w:t>týkající se fyzické osoby</w:t>
      </w:r>
      <w:r w:rsidR="00037E1E" w:rsidRPr="00037E1E">
        <w:rPr>
          <w:sz w:val="24"/>
          <w:szCs w:val="24"/>
        </w:rPr>
        <w:t xml:space="preserve"> </w:t>
      </w:r>
      <w:r w:rsidRPr="00037E1E">
        <w:rPr>
          <w:sz w:val="24"/>
          <w:szCs w:val="24"/>
        </w:rPr>
        <w:t>nebo nemůže-li Rejstřík trestů neprodleně po doručení žádosti vyhotovit přílohu výpisu</w:t>
      </w:r>
      <w:r w:rsidR="00037E1E" w:rsidRPr="00037E1E">
        <w:rPr>
          <w:sz w:val="24"/>
          <w:szCs w:val="24"/>
        </w:rPr>
        <w:t xml:space="preserve"> nebo opisu</w:t>
      </w:r>
      <w:r w:rsidR="00037E1E">
        <w:rPr>
          <w:sz w:val="24"/>
          <w:szCs w:val="24"/>
        </w:rPr>
        <w:t xml:space="preserve">) se umožňuje, aby žadatel uvedl fakultativně svůj e-mail, na který mu bude zasláno upozornění o tom, že požadovaný výstup byl již vyhotoven. </w:t>
      </w:r>
      <w:r w:rsidR="00037E1E" w:rsidRPr="00037E1E">
        <w:rPr>
          <w:sz w:val="24"/>
          <w:szCs w:val="24"/>
        </w:rPr>
        <w:t xml:space="preserve"> </w:t>
      </w:r>
    </w:p>
    <w:p w14:paraId="447F2FB9" w14:textId="1D0C28CB" w:rsidR="005B293A" w:rsidRDefault="005B293A" w:rsidP="005B5EC8">
      <w:pPr>
        <w:spacing w:before="120" w:after="0" w:line="240" w:lineRule="auto"/>
        <w:jc w:val="both"/>
        <w:rPr>
          <w:sz w:val="24"/>
          <w:szCs w:val="24"/>
        </w:rPr>
      </w:pPr>
      <w:r>
        <w:rPr>
          <w:sz w:val="24"/>
          <w:szCs w:val="24"/>
        </w:rPr>
        <w:t xml:space="preserve">Zároveň se jednoznačně stanoví, že u osoby žadatele </w:t>
      </w:r>
      <w:r w:rsidR="003423A0">
        <w:rPr>
          <w:sz w:val="24"/>
          <w:szCs w:val="24"/>
        </w:rPr>
        <w:t>mají</w:t>
      </w:r>
      <w:r>
        <w:rPr>
          <w:sz w:val="24"/>
          <w:szCs w:val="24"/>
        </w:rPr>
        <w:t xml:space="preserve"> být uvedeny všechny státy, jehož je osoba, které se opis nebo výpis z evidence Rejstříku trestů nebo opis z evidence přestupků týká, státním příslušníkem, popř. zda jde o osobu s nezjištěným státním občanstvím nebo osobu bez státního občanství, neboť od tohoto údaje se pak odvíjí další postup Rejstříku trestů [obligatorní </w:t>
      </w:r>
      <w:r w:rsidR="006E5726">
        <w:rPr>
          <w:sz w:val="24"/>
          <w:szCs w:val="24"/>
        </w:rPr>
        <w:t xml:space="preserve">vyžadování </w:t>
      </w:r>
      <w:r>
        <w:rPr>
          <w:sz w:val="24"/>
          <w:szCs w:val="24"/>
        </w:rPr>
        <w:t>či</w:t>
      </w:r>
      <w:r w:rsidR="006E5726">
        <w:rPr>
          <w:sz w:val="24"/>
          <w:szCs w:val="24"/>
        </w:rPr>
        <w:t xml:space="preserve"> možnost</w:t>
      </w:r>
      <w:r>
        <w:rPr>
          <w:sz w:val="24"/>
          <w:szCs w:val="24"/>
        </w:rPr>
        <w:t xml:space="preserve"> fakultativní</w:t>
      </w:r>
      <w:r w:rsidR="006E5726">
        <w:rPr>
          <w:sz w:val="24"/>
          <w:szCs w:val="24"/>
        </w:rPr>
        <w:t>ho</w:t>
      </w:r>
      <w:r>
        <w:rPr>
          <w:sz w:val="24"/>
          <w:szCs w:val="24"/>
        </w:rPr>
        <w:t xml:space="preserve"> vyžadování si informací ze systému ECRIS a ECRIS-TCN – viz § 2 odst. 2 a § 3 písm. a) </w:t>
      </w:r>
      <w:r w:rsidR="006E5726">
        <w:rPr>
          <w:sz w:val="24"/>
          <w:szCs w:val="24"/>
        </w:rPr>
        <w:t xml:space="preserve">novelizované </w:t>
      </w:r>
      <w:r>
        <w:rPr>
          <w:sz w:val="24"/>
          <w:szCs w:val="24"/>
        </w:rPr>
        <w:t>vyhlášky, § 16g odst. 2 až 5</w:t>
      </w:r>
      <w:r w:rsidRPr="005B293A">
        <w:rPr>
          <w:sz w:val="24"/>
          <w:szCs w:val="24"/>
        </w:rPr>
        <w:t xml:space="preserve"> </w:t>
      </w:r>
      <w:r>
        <w:rPr>
          <w:sz w:val="24"/>
          <w:szCs w:val="24"/>
        </w:rPr>
        <w:t>zákona o RT ve znění tisku 86].</w:t>
      </w:r>
    </w:p>
    <w:p w14:paraId="747D3A7B" w14:textId="6513D27F" w:rsidR="00037E1E" w:rsidRDefault="00037E1E" w:rsidP="005B5EC8">
      <w:pPr>
        <w:spacing w:before="120" w:after="0" w:line="240" w:lineRule="auto"/>
        <w:jc w:val="both"/>
        <w:rPr>
          <w:sz w:val="24"/>
          <w:szCs w:val="24"/>
        </w:rPr>
      </w:pPr>
      <w:r>
        <w:rPr>
          <w:sz w:val="24"/>
          <w:szCs w:val="24"/>
        </w:rPr>
        <w:t>Ve zbytku dochází k převzetí současné úpravy, která byla pouze formálně upravena tak, aby se docílilo větší přehlednosti textu.</w:t>
      </w:r>
    </w:p>
    <w:p w14:paraId="4E9EABF5" w14:textId="03397C18" w:rsidR="00135D2E" w:rsidRPr="008D4683" w:rsidRDefault="00135D2E" w:rsidP="005B5EC8">
      <w:pPr>
        <w:spacing w:before="120" w:after="0" w:line="240" w:lineRule="auto"/>
        <w:jc w:val="both"/>
        <w:rPr>
          <w:sz w:val="24"/>
          <w:szCs w:val="24"/>
          <w:u w:val="single"/>
        </w:rPr>
      </w:pPr>
      <w:r w:rsidRPr="008D4683">
        <w:rPr>
          <w:sz w:val="24"/>
          <w:szCs w:val="24"/>
          <w:u w:val="single"/>
        </w:rPr>
        <w:t>K bodům 2 a 6 [§ 1 písm. e) a § 3 odst. 2]</w:t>
      </w:r>
    </w:p>
    <w:p w14:paraId="3CFD45E4" w14:textId="0110E003" w:rsidR="00135D2E" w:rsidRPr="008D4683" w:rsidRDefault="00135D2E" w:rsidP="008D4683">
      <w:pPr>
        <w:spacing w:before="120" w:after="0" w:line="240" w:lineRule="auto"/>
        <w:jc w:val="both"/>
        <w:rPr>
          <w:sz w:val="24"/>
          <w:szCs w:val="24"/>
        </w:rPr>
      </w:pPr>
      <w:r w:rsidRPr="008D4683">
        <w:rPr>
          <w:sz w:val="24"/>
          <w:szCs w:val="24"/>
        </w:rPr>
        <w:t xml:space="preserve">Obecnou náležitostí všech formulářů </w:t>
      </w:r>
      <w:r w:rsidR="008D4683" w:rsidRPr="008D4683">
        <w:rPr>
          <w:sz w:val="24"/>
          <w:szCs w:val="24"/>
        </w:rPr>
        <w:t>žádostí upravených novelizovanou vyhláškou, jde-li o žádosti podávané orgány veřejné moci, je účel podání žádosti a označení řízení spisovou značkou žadatele. Tato úprava, která je dnes obsahem § 2 a § 3 odst. 2, se přesouvá mezi obecné náležitost</w:t>
      </w:r>
      <w:r w:rsidR="006E5726">
        <w:rPr>
          <w:sz w:val="24"/>
          <w:szCs w:val="24"/>
        </w:rPr>
        <w:t>i</w:t>
      </w:r>
      <w:r w:rsidR="008D4683" w:rsidRPr="008D4683">
        <w:rPr>
          <w:sz w:val="24"/>
          <w:szCs w:val="24"/>
        </w:rPr>
        <w:t xml:space="preserve"> formulářů žádostí o opis nebo výpis z evidence Rejstříku trestů nebo o opis z evidence přestupků. Jde o legislativně technickou změnu, k věcným změnám nedochází.  </w:t>
      </w:r>
    </w:p>
    <w:p w14:paraId="7CDA1356" w14:textId="14589779" w:rsidR="00135D2E" w:rsidRPr="008D4683" w:rsidRDefault="00135D2E" w:rsidP="005B5EC8">
      <w:pPr>
        <w:spacing w:before="120" w:after="0" w:line="240" w:lineRule="auto"/>
        <w:jc w:val="both"/>
        <w:rPr>
          <w:sz w:val="24"/>
          <w:szCs w:val="24"/>
        </w:rPr>
      </w:pPr>
    </w:p>
    <w:p w14:paraId="05EFD382" w14:textId="23EC8332" w:rsidR="008D4683" w:rsidRPr="008D4683" w:rsidRDefault="008D4683" w:rsidP="008D4683">
      <w:pPr>
        <w:spacing w:before="120" w:after="0" w:line="240" w:lineRule="auto"/>
        <w:jc w:val="both"/>
        <w:rPr>
          <w:sz w:val="24"/>
          <w:szCs w:val="24"/>
          <w:u w:val="single"/>
        </w:rPr>
      </w:pPr>
      <w:r w:rsidRPr="008D4683">
        <w:rPr>
          <w:sz w:val="24"/>
          <w:szCs w:val="24"/>
          <w:u w:val="single"/>
        </w:rPr>
        <w:t>K bodům 3 a 4 [§ 2 a § 3 odst. 1 písm. a)]</w:t>
      </w:r>
    </w:p>
    <w:p w14:paraId="24A5C128" w14:textId="19D815C0" w:rsidR="008D4683" w:rsidRDefault="005B7887" w:rsidP="005B5EC8">
      <w:pPr>
        <w:spacing w:before="120" w:after="0" w:line="240" w:lineRule="auto"/>
        <w:jc w:val="both"/>
        <w:rPr>
          <w:sz w:val="24"/>
          <w:szCs w:val="24"/>
          <w:lang w:eastAsia="en-US"/>
        </w:rPr>
      </w:pPr>
      <w:r>
        <w:rPr>
          <w:sz w:val="24"/>
          <w:szCs w:val="24"/>
        </w:rPr>
        <w:t>V souladu s obecnou část</w:t>
      </w:r>
      <w:r w:rsidR="00774496">
        <w:rPr>
          <w:sz w:val="24"/>
          <w:szCs w:val="24"/>
        </w:rPr>
        <w:t>í</w:t>
      </w:r>
      <w:r>
        <w:rPr>
          <w:sz w:val="24"/>
          <w:szCs w:val="24"/>
        </w:rPr>
        <w:t xml:space="preserve"> odůvodnění se </w:t>
      </w:r>
      <w:r w:rsidR="00774496">
        <w:rPr>
          <w:sz w:val="24"/>
          <w:szCs w:val="24"/>
        </w:rPr>
        <w:t xml:space="preserve">zavádějí </w:t>
      </w:r>
      <w:r>
        <w:rPr>
          <w:sz w:val="24"/>
          <w:szCs w:val="24"/>
        </w:rPr>
        <w:t>ve formuláři žádosti o opis nebo výpis z evidence Rejstříku trestů</w:t>
      </w:r>
      <w:r w:rsidR="00774496">
        <w:rPr>
          <w:sz w:val="24"/>
          <w:szCs w:val="24"/>
        </w:rPr>
        <w:t xml:space="preserve"> nové kolonky</w:t>
      </w:r>
      <w:r>
        <w:rPr>
          <w:sz w:val="24"/>
          <w:szCs w:val="24"/>
        </w:rPr>
        <w:t>, jejichž pomocí žadatel stanoví, tam kde to zákon o</w:t>
      </w:r>
      <w:r w:rsidR="00774496">
        <w:rPr>
          <w:sz w:val="24"/>
          <w:szCs w:val="24"/>
        </w:rPr>
        <w:t> </w:t>
      </w:r>
      <w:r>
        <w:rPr>
          <w:sz w:val="24"/>
          <w:szCs w:val="24"/>
        </w:rPr>
        <w:t>RT ve znění tisku 86 umožňuje, v</w:t>
      </w:r>
      <w:r w:rsidR="00774496">
        <w:rPr>
          <w:sz w:val="24"/>
          <w:szCs w:val="24"/>
        </w:rPr>
        <w:t>e</w:t>
      </w:r>
      <w:r>
        <w:rPr>
          <w:sz w:val="24"/>
          <w:szCs w:val="24"/>
        </w:rPr>
        <w:t xml:space="preserve"> kterých případech bude výpis nebo opis z evidence Rejstříku trestů vydán s přílohou obsahující informace z evidence trestů jiného členského státu Evropské unie nebo </w:t>
      </w:r>
      <w:r w:rsidRPr="00CD4441">
        <w:rPr>
          <w:sz w:val="24"/>
          <w:szCs w:val="24"/>
          <w:lang w:eastAsia="en-US"/>
        </w:rPr>
        <w:t>Spojeného království Velké Británie a Severního Irska</w:t>
      </w:r>
      <w:r>
        <w:rPr>
          <w:sz w:val="24"/>
          <w:szCs w:val="24"/>
          <w:lang w:eastAsia="en-US"/>
        </w:rPr>
        <w:t>.</w:t>
      </w:r>
    </w:p>
    <w:p w14:paraId="2FE7FC87" w14:textId="018100C1" w:rsidR="005B7887" w:rsidRDefault="005B7887" w:rsidP="00494643">
      <w:pPr>
        <w:spacing w:before="120" w:after="0" w:line="240" w:lineRule="auto"/>
        <w:jc w:val="both"/>
        <w:rPr>
          <w:sz w:val="24"/>
          <w:szCs w:val="24"/>
          <w:lang w:eastAsia="en-US"/>
        </w:rPr>
      </w:pPr>
      <w:r>
        <w:rPr>
          <w:sz w:val="24"/>
          <w:szCs w:val="24"/>
          <w:lang w:eastAsia="en-US"/>
        </w:rPr>
        <w:t>Protože v případě, kdy bude žádost o</w:t>
      </w:r>
      <w:r w:rsidR="00A82F3E" w:rsidRPr="00A82F3E">
        <w:rPr>
          <w:sz w:val="24"/>
          <w:szCs w:val="24"/>
        </w:rPr>
        <w:t xml:space="preserve"> </w:t>
      </w:r>
      <w:r w:rsidR="00A82F3E">
        <w:rPr>
          <w:sz w:val="24"/>
          <w:szCs w:val="24"/>
        </w:rPr>
        <w:t>opis nebo výpis z evidence Rejstříku trestů</w:t>
      </w:r>
      <w:r>
        <w:rPr>
          <w:sz w:val="24"/>
          <w:szCs w:val="24"/>
          <w:lang w:eastAsia="en-US"/>
        </w:rPr>
        <w:t xml:space="preserve"> podána pro účely vymezené v </w:t>
      </w:r>
      <w:r w:rsidRPr="00CD4441">
        <w:rPr>
          <w:sz w:val="24"/>
          <w:szCs w:val="24"/>
          <w:lang w:eastAsia="en-US"/>
        </w:rPr>
        <w:t>čl. 10 odst. 2 směrnice 2011/99/EU</w:t>
      </w:r>
      <w:r>
        <w:rPr>
          <w:sz w:val="24"/>
          <w:szCs w:val="24"/>
          <w:lang w:eastAsia="en-US"/>
        </w:rPr>
        <w:t xml:space="preserve">, bude vždy </w:t>
      </w:r>
      <w:r w:rsidR="00A82F3E">
        <w:rPr>
          <w:sz w:val="24"/>
          <w:szCs w:val="24"/>
          <w:lang w:eastAsia="en-US"/>
        </w:rPr>
        <w:t>systém</w:t>
      </w:r>
      <w:r w:rsidRPr="005B7887">
        <w:rPr>
          <w:sz w:val="24"/>
          <w:szCs w:val="24"/>
          <w:lang w:eastAsia="en-US"/>
        </w:rPr>
        <w:t xml:space="preserve"> ECRIS-TCN </w:t>
      </w:r>
      <w:r w:rsidR="00A82F3E">
        <w:rPr>
          <w:sz w:val="24"/>
          <w:szCs w:val="24"/>
          <w:lang w:eastAsia="en-US"/>
        </w:rPr>
        <w:t xml:space="preserve">využitý </w:t>
      </w:r>
      <w:r w:rsidRPr="005B7887">
        <w:rPr>
          <w:sz w:val="24"/>
          <w:szCs w:val="24"/>
          <w:lang w:eastAsia="en-US"/>
        </w:rPr>
        <w:t>pro identifikaci členských států, jež mají informace z rejstříku trestů o </w:t>
      </w:r>
      <w:r>
        <w:rPr>
          <w:sz w:val="24"/>
          <w:szCs w:val="24"/>
          <w:lang w:eastAsia="en-US"/>
        </w:rPr>
        <w:t xml:space="preserve">osobě, které se má výpis nebo opis týkat, </w:t>
      </w:r>
      <w:r w:rsidR="00076060">
        <w:rPr>
          <w:sz w:val="24"/>
          <w:szCs w:val="24"/>
          <w:lang w:eastAsia="en-US"/>
        </w:rPr>
        <w:t>musí být tato informace součástí každé žádosti o opis nebo výpis z evidence Rejstříku trestů</w:t>
      </w:r>
      <w:r w:rsidR="00A82F3E">
        <w:rPr>
          <w:sz w:val="24"/>
          <w:szCs w:val="24"/>
          <w:lang w:eastAsia="en-US"/>
        </w:rPr>
        <w:t xml:space="preserve"> týkající se fyzické osoby</w:t>
      </w:r>
      <w:r w:rsidR="00076060">
        <w:rPr>
          <w:sz w:val="24"/>
          <w:szCs w:val="24"/>
          <w:lang w:eastAsia="en-US"/>
        </w:rPr>
        <w:t xml:space="preserve">, tj. nejen v případě fyzické osoby, která </w:t>
      </w:r>
      <w:r w:rsidR="00494643" w:rsidRPr="00494643">
        <w:rPr>
          <w:sz w:val="24"/>
          <w:szCs w:val="24"/>
          <w:lang w:eastAsia="en-US"/>
        </w:rPr>
        <w:t xml:space="preserve">žádá, aby výpis z evidence Rejstříku trestů byl vydán s přílohou, která bude obsahovat informace o </w:t>
      </w:r>
      <w:r w:rsidR="00494643">
        <w:rPr>
          <w:sz w:val="24"/>
          <w:szCs w:val="24"/>
          <w:lang w:eastAsia="en-US"/>
        </w:rPr>
        <w:t>jejích</w:t>
      </w:r>
      <w:r w:rsidR="00494643" w:rsidRPr="00494643">
        <w:rPr>
          <w:sz w:val="24"/>
          <w:szCs w:val="24"/>
          <w:lang w:eastAsia="en-US"/>
        </w:rPr>
        <w:t xml:space="preserve"> pravomocných odsouzeních za trestné činy a o navazujících údajích o těchto odsouzeních zapsaných v evidenci jiného členského státu Evropské unie, ve kterém žadatel měl nebo má bydliště nebo jehož byl státním příslušníkem</w:t>
      </w:r>
      <w:r w:rsidR="00076060">
        <w:rPr>
          <w:sz w:val="24"/>
          <w:szCs w:val="24"/>
        </w:rPr>
        <w:t>, jak je dnes stanoveno v § 3 odst. 1 písm. a) novelizované vyhlášky.</w:t>
      </w:r>
    </w:p>
    <w:p w14:paraId="0BF55D75" w14:textId="69E83550" w:rsidR="00076060" w:rsidRDefault="00076060" w:rsidP="00076060">
      <w:pPr>
        <w:spacing w:before="120" w:after="0" w:line="240" w:lineRule="auto"/>
        <w:jc w:val="both"/>
        <w:rPr>
          <w:sz w:val="24"/>
          <w:szCs w:val="24"/>
          <w:lang w:eastAsia="en-US"/>
        </w:rPr>
      </w:pPr>
      <w:r>
        <w:rPr>
          <w:sz w:val="24"/>
          <w:szCs w:val="24"/>
          <w:lang w:eastAsia="en-US"/>
        </w:rPr>
        <w:t xml:space="preserve">Náležitosti formuláře uvedené v odstavci 2 a 4 pak napomáhají realizaci postupu předvídaného v § </w:t>
      </w:r>
      <w:r w:rsidR="009342BC">
        <w:rPr>
          <w:sz w:val="24"/>
          <w:szCs w:val="24"/>
          <w:lang w:eastAsia="en-US"/>
        </w:rPr>
        <w:t xml:space="preserve">13 odst. 2 a § </w:t>
      </w:r>
      <w:r>
        <w:rPr>
          <w:sz w:val="24"/>
          <w:szCs w:val="24"/>
          <w:lang w:eastAsia="en-US"/>
        </w:rPr>
        <w:t xml:space="preserve">16g odst. 1 až 3 zákona o RT ve znění tisku </w:t>
      </w:r>
      <w:r w:rsidR="009342BC">
        <w:rPr>
          <w:sz w:val="24"/>
          <w:szCs w:val="24"/>
          <w:lang w:eastAsia="en-US"/>
        </w:rPr>
        <w:t>86.</w:t>
      </w:r>
    </w:p>
    <w:p w14:paraId="46D1ACC2" w14:textId="6DFDEA2F" w:rsidR="005B7887" w:rsidRDefault="009342BC" w:rsidP="005B5EC8">
      <w:pPr>
        <w:spacing w:before="120" w:after="0" w:line="240" w:lineRule="auto"/>
        <w:jc w:val="both"/>
        <w:rPr>
          <w:sz w:val="24"/>
          <w:szCs w:val="24"/>
          <w:lang w:eastAsia="en-US"/>
        </w:rPr>
      </w:pPr>
      <w:r>
        <w:rPr>
          <w:sz w:val="24"/>
          <w:szCs w:val="24"/>
          <w:lang w:eastAsia="en-US"/>
        </w:rPr>
        <w:t>Pokud je pro postup Rejstříku trestů nezbytné použít systém ECRIS-TCN</w:t>
      </w:r>
      <w:r w:rsidR="00333506">
        <w:rPr>
          <w:sz w:val="24"/>
          <w:szCs w:val="24"/>
          <w:lang w:eastAsia="en-US"/>
        </w:rPr>
        <w:t xml:space="preserve">, je zapotřebí v žádosti uvést </w:t>
      </w:r>
      <w:r w:rsidR="00333506" w:rsidRPr="00587E34">
        <w:rPr>
          <w:sz w:val="24"/>
          <w:szCs w:val="24"/>
        </w:rPr>
        <w:t xml:space="preserve">druh a číslo dokladu totožnosti osoby, které se žádost týká, název vydávajícího orgánu a v případě, </w:t>
      </w:r>
      <w:r w:rsidR="00333506" w:rsidRPr="00587E34">
        <w:rPr>
          <w:sz w:val="24"/>
          <w:szCs w:val="24"/>
          <w:lang w:eastAsia="en-US"/>
        </w:rPr>
        <w:t>že</w:t>
      </w:r>
      <w:r w:rsidR="00686243">
        <w:rPr>
          <w:sz w:val="24"/>
          <w:szCs w:val="24"/>
          <w:lang w:eastAsia="en-US"/>
        </w:rPr>
        <w:t> </w:t>
      </w:r>
      <w:r w:rsidR="00333506" w:rsidRPr="00587E34">
        <w:rPr>
          <w:sz w:val="24"/>
          <w:szCs w:val="24"/>
          <w:lang w:eastAsia="en-US"/>
        </w:rPr>
        <w:t xml:space="preserve">doklad totožnosti vydal jiný stát než České republika, </w:t>
      </w:r>
      <w:r w:rsidR="00411B71" w:rsidRPr="00411B71">
        <w:rPr>
          <w:sz w:val="24"/>
          <w:szCs w:val="24"/>
          <w:lang w:eastAsia="en-US"/>
        </w:rPr>
        <w:t>třípísmenný kód státu</w:t>
      </w:r>
      <w:r w:rsidR="00333506" w:rsidRPr="00587E34">
        <w:rPr>
          <w:sz w:val="24"/>
          <w:szCs w:val="24"/>
          <w:lang w:eastAsia="en-US"/>
        </w:rPr>
        <w:t>, který tento doklad vydal</w:t>
      </w:r>
      <w:r w:rsidR="00333506">
        <w:rPr>
          <w:sz w:val="24"/>
          <w:szCs w:val="24"/>
          <w:lang w:eastAsia="en-US"/>
        </w:rPr>
        <w:t>, pokud těmito údaji žadatel disponuje, neboť tato data jsou zapotřebí pro řádnou lustraci v ECRIS-TCN (viz i návrh prováděcích aktů Komise podle čl. 10 nařízení ECRIS-TCN)</w:t>
      </w:r>
      <w:r w:rsidR="00686243">
        <w:rPr>
          <w:sz w:val="24"/>
          <w:szCs w:val="24"/>
          <w:lang w:eastAsia="en-US"/>
        </w:rPr>
        <w:t>.</w:t>
      </w:r>
      <w:r w:rsidR="00411B71">
        <w:rPr>
          <w:sz w:val="24"/>
          <w:szCs w:val="24"/>
          <w:lang w:eastAsia="en-US"/>
        </w:rPr>
        <w:t xml:space="preserve"> Kódy státu jsou obsa</w:t>
      </w:r>
      <w:r w:rsidR="003423A0">
        <w:rPr>
          <w:sz w:val="24"/>
          <w:szCs w:val="24"/>
          <w:lang w:eastAsia="en-US"/>
        </w:rPr>
        <w:t xml:space="preserve">ženy ve </w:t>
      </w:r>
      <w:r w:rsidR="00411B71">
        <w:rPr>
          <w:sz w:val="24"/>
          <w:szCs w:val="24"/>
          <w:lang w:eastAsia="en-US"/>
        </w:rPr>
        <w:t>s</w:t>
      </w:r>
      <w:r w:rsidR="00411B71" w:rsidRPr="00411B71">
        <w:rPr>
          <w:sz w:val="24"/>
          <w:szCs w:val="24"/>
          <w:lang w:eastAsia="en-US"/>
        </w:rPr>
        <w:t xml:space="preserve">dělení Českého statistického úřadu o vydání Číselníku zemí (ČZEM), vyhlášené pod č. 489/2003 Sb., ve znění </w:t>
      </w:r>
      <w:r w:rsidR="00411B71">
        <w:rPr>
          <w:sz w:val="24"/>
          <w:szCs w:val="24"/>
          <w:lang w:eastAsia="en-US"/>
        </w:rPr>
        <w:t xml:space="preserve">pozdějších </w:t>
      </w:r>
      <w:r w:rsidR="00411B71" w:rsidRPr="00411B71">
        <w:rPr>
          <w:sz w:val="24"/>
          <w:szCs w:val="24"/>
          <w:lang w:eastAsia="en-US"/>
        </w:rPr>
        <w:t>sdělení</w:t>
      </w:r>
      <w:r w:rsidR="00411B71">
        <w:rPr>
          <w:sz w:val="24"/>
          <w:szCs w:val="24"/>
          <w:lang w:eastAsia="en-US"/>
        </w:rPr>
        <w:t>.</w:t>
      </w:r>
    </w:p>
    <w:p w14:paraId="0DBED283" w14:textId="77777777" w:rsidR="00411B71" w:rsidRDefault="00411B71" w:rsidP="005B5EC8">
      <w:pPr>
        <w:spacing w:before="120" w:after="0" w:line="240" w:lineRule="auto"/>
        <w:jc w:val="both"/>
        <w:rPr>
          <w:sz w:val="24"/>
          <w:szCs w:val="24"/>
          <w:lang w:eastAsia="en-US"/>
        </w:rPr>
      </w:pPr>
    </w:p>
    <w:p w14:paraId="5FF160E2" w14:textId="07AB39E0" w:rsidR="008D4683" w:rsidRDefault="008D4683" w:rsidP="005B5EC8">
      <w:pPr>
        <w:spacing w:before="120" w:after="0" w:line="240" w:lineRule="auto"/>
        <w:jc w:val="both"/>
        <w:rPr>
          <w:sz w:val="24"/>
          <w:szCs w:val="24"/>
          <w:u w:val="single"/>
        </w:rPr>
      </w:pPr>
      <w:r w:rsidRPr="008D4683">
        <w:rPr>
          <w:sz w:val="24"/>
          <w:szCs w:val="24"/>
          <w:u w:val="single"/>
        </w:rPr>
        <w:t>K bodu 5 [§ 3 odst. 1 písm. d)]</w:t>
      </w:r>
    </w:p>
    <w:p w14:paraId="4ED7F761" w14:textId="713D462E" w:rsidR="008D4683" w:rsidRPr="008D4683" w:rsidRDefault="007C788C" w:rsidP="005B5EC8">
      <w:pPr>
        <w:spacing w:before="120" w:after="0" w:line="240" w:lineRule="auto"/>
        <w:jc w:val="both"/>
        <w:rPr>
          <w:sz w:val="24"/>
          <w:szCs w:val="24"/>
        </w:rPr>
      </w:pPr>
      <w:r>
        <w:rPr>
          <w:sz w:val="24"/>
          <w:szCs w:val="24"/>
        </w:rPr>
        <w:t>Podmínkou pro vydání výpisu z evidence Rejstříku trestů fyzické osobě je ověření její totožnost</w:t>
      </w:r>
      <w:r w:rsidR="00F56B03">
        <w:rPr>
          <w:sz w:val="24"/>
          <w:szCs w:val="24"/>
        </w:rPr>
        <w:t>i</w:t>
      </w:r>
      <w:r>
        <w:rPr>
          <w:sz w:val="24"/>
          <w:szCs w:val="24"/>
        </w:rPr>
        <w:t xml:space="preserve"> (§ 11 odst. 1</w:t>
      </w:r>
      <w:r w:rsidR="00F56B03">
        <w:rPr>
          <w:sz w:val="24"/>
          <w:szCs w:val="24"/>
        </w:rPr>
        <w:t xml:space="preserve"> a</w:t>
      </w:r>
      <w:r>
        <w:rPr>
          <w:sz w:val="24"/>
          <w:szCs w:val="24"/>
        </w:rPr>
        <w:t xml:space="preserve"> § 11a odst. 2 zákona o RT). K</w:t>
      </w:r>
      <w:r w:rsidR="008D4683" w:rsidRPr="008D4683">
        <w:rPr>
          <w:sz w:val="24"/>
          <w:szCs w:val="24"/>
        </w:rPr>
        <w:t>onkretiz</w:t>
      </w:r>
      <w:r>
        <w:rPr>
          <w:sz w:val="24"/>
          <w:szCs w:val="24"/>
        </w:rPr>
        <w:t>ují</w:t>
      </w:r>
      <w:r w:rsidR="008D4683" w:rsidRPr="008D4683">
        <w:rPr>
          <w:sz w:val="24"/>
          <w:szCs w:val="24"/>
        </w:rPr>
        <w:t xml:space="preserve"> </w:t>
      </w:r>
      <w:r>
        <w:rPr>
          <w:sz w:val="24"/>
          <w:szCs w:val="24"/>
        </w:rPr>
        <w:t xml:space="preserve">se </w:t>
      </w:r>
      <w:r w:rsidR="008D4683">
        <w:rPr>
          <w:sz w:val="24"/>
          <w:szCs w:val="24"/>
        </w:rPr>
        <w:t>údaj</w:t>
      </w:r>
      <w:r>
        <w:rPr>
          <w:sz w:val="24"/>
          <w:szCs w:val="24"/>
        </w:rPr>
        <w:t>e</w:t>
      </w:r>
      <w:r w:rsidR="008D4683">
        <w:rPr>
          <w:sz w:val="24"/>
          <w:szCs w:val="24"/>
        </w:rPr>
        <w:t xml:space="preserve"> o dokladu, na jehož základě byla totožnost </w:t>
      </w:r>
      <w:r w:rsidR="00807588">
        <w:rPr>
          <w:sz w:val="24"/>
          <w:szCs w:val="24"/>
        </w:rPr>
        <w:t>žadatele</w:t>
      </w:r>
      <w:r>
        <w:rPr>
          <w:sz w:val="24"/>
          <w:szCs w:val="24"/>
        </w:rPr>
        <w:t xml:space="preserve"> ověřena</w:t>
      </w:r>
      <w:r w:rsidR="008D4683">
        <w:rPr>
          <w:sz w:val="24"/>
          <w:szCs w:val="24"/>
        </w:rPr>
        <w:t xml:space="preserve">. </w:t>
      </w:r>
      <w:r w:rsidR="00411B71">
        <w:rPr>
          <w:sz w:val="24"/>
          <w:szCs w:val="24"/>
          <w:lang w:eastAsia="en-US"/>
        </w:rPr>
        <w:t>Kódy státu jsou obsa</w:t>
      </w:r>
      <w:r w:rsidR="003423A0">
        <w:rPr>
          <w:sz w:val="24"/>
          <w:szCs w:val="24"/>
          <w:lang w:eastAsia="en-US"/>
        </w:rPr>
        <w:t xml:space="preserve">ženy ve </w:t>
      </w:r>
      <w:r w:rsidR="00411B71">
        <w:rPr>
          <w:sz w:val="24"/>
          <w:szCs w:val="24"/>
          <w:lang w:eastAsia="en-US"/>
        </w:rPr>
        <w:t>s</w:t>
      </w:r>
      <w:r w:rsidR="00411B71" w:rsidRPr="00411B71">
        <w:rPr>
          <w:sz w:val="24"/>
          <w:szCs w:val="24"/>
          <w:lang w:eastAsia="en-US"/>
        </w:rPr>
        <w:t xml:space="preserve">dělení Českého statistického úřadu o vydání Číselníku zemí (ČZEM), vyhlášené pod č. 489/2003 Sb., ve znění </w:t>
      </w:r>
      <w:r w:rsidR="00411B71">
        <w:rPr>
          <w:sz w:val="24"/>
          <w:szCs w:val="24"/>
          <w:lang w:eastAsia="en-US"/>
        </w:rPr>
        <w:t xml:space="preserve">pozdějších </w:t>
      </w:r>
      <w:r w:rsidR="00411B71" w:rsidRPr="00411B71">
        <w:rPr>
          <w:sz w:val="24"/>
          <w:szCs w:val="24"/>
          <w:lang w:eastAsia="en-US"/>
        </w:rPr>
        <w:t>sdělení</w:t>
      </w:r>
      <w:r w:rsidR="00411B71">
        <w:rPr>
          <w:sz w:val="24"/>
          <w:szCs w:val="24"/>
          <w:lang w:eastAsia="en-US"/>
        </w:rPr>
        <w:t>.</w:t>
      </w:r>
    </w:p>
    <w:p w14:paraId="6BEFE64E" w14:textId="77777777" w:rsidR="008D4683" w:rsidRDefault="008D4683" w:rsidP="005B5EC8">
      <w:pPr>
        <w:spacing w:before="120" w:after="0" w:line="240" w:lineRule="auto"/>
        <w:jc w:val="both"/>
        <w:rPr>
          <w:sz w:val="24"/>
          <w:szCs w:val="24"/>
        </w:rPr>
      </w:pPr>
    </w:p>
    <w:p w14:paraId="752E5ED4" w14:textId="3AC9D4A7" w:rsidR="00BA07C5" w:rsidRPr="005B5EC8" w:rsidRDefault="00BA07C5" w:rsidP="005B5EC8">
      <w:pPr>
        <w:spacing w:before="120" w:after="0" w:line="240" w:lineRule="auto"/>
        <w:jc w:val="both"/>
        <w:rPr>
          <w:sz w:val="24"/>
          <w:szCs w:val="24"/>
        </w:rPr>
      </w:pPr>
      <w:r w:rsidRPr="005B5EC8">
        <w:rPr>
          <w:sz w:val="24"/>
          <w:szCs w:val="24"/>
        </w:rPr>
        <w:t>K čl. II</w:t>
      </w:r>
    </w:p>
    <w:p w14:paraId="50B51B20" w14:textId="1E7E2B76" w:rsidR="00BA07C5" w:rsidRPr="005B5EC8" w:rsidRDefault="00BA07C5" w:rsidP="00037E1E">
      <w:pPr>
        <w:spacing w:before="120" w:after="0" w:line="240" w:lineRule="auto"/>
        <w:jc w:val="both"/>
        <w:rPr>
          <w:sz w:val="24"/>
          <w:szCs w:val="24"/>
        </w:rPr>
      </w:pPr>
      <w:r w:rsidRPr="005B5EC8">
        <w:rPr>
          <w:sz w:val="24"/>
          <w:szCs w:val="24"/>
        </w:rPr>
        <w:t>Navrhované datum nabytí účinnosti je stanoveno s přihlédnutím k navrženému datu účinnosti novely zákona o Rejstříku trestů</w:t>
      </w:r>
      <w:r w:rsidR="00AF56C5">
        <w:rPr>
          <w:sz w:val="24"/>
          <w:szCs w:val="24"/>
        </w:rPr>
        <w:t xml:space="preserve"> projednávané jako tisk 86</w:t>
      </w:r>
      <w:r w:rsidRPr="005B5EC8">
        <w:rPr>
          <w:sz w:val="24"/>
          <w:szCs w:val="24"/>
        </w:rPr>
        <w:t>, které vychází z</w:t>
      </w:r>
      <w:r w:rsidR="00AF56C5">
        <w:rPr>
          <w:sz w:val="24"/>
          <w:szCs w:val="24"/>
        </w:rPr>
        <w:t> implementačních a</w:t>
      </w:r>
      <w:r w:rsidR="002E17A7">
        <w:rPr>
          <w:sz w:val="24"/>
          <w:szCs w:val="24"/>
        </w:rPr>
        <w:t> </w:t>
      </w:r>
      <w:r w:rsidR="00AF56C5">
        <w:rPr>
          <w:sz w:val="24"/>
          <w:szCs w:val="24"/>
        </w:rPr>
        <w:t xml:space="preserve">adaptačních lhůt stanovených </w:t>
      </w:r>
      <w:r w:rsidR="002E17A7">
        <w:rPr>
          <w:sz w:val="24"/>
          <w:szCs w:val="24"/>
        </w:rPr>
        <w:t>v nařízení ECRIS-TCN a směrnice ECRIS. Změna formulářů k tomuto datu je potřebná, aby bylo možné naplnit cíle sledované zmiňovaným nařízením. J</w:t>
      </w:r>
      <w:r w:rsidR="002E17A7" w:rsidRPr="002E17A7">
        <w:rPr>
          <w:sz w:val="24"/>
          <w:szCs w:val="24"/>
        </w:rPr>
        <w:t>edná se o případ naléhavého obecného zájmu, který je předvídán v § 3 odst. 4 zákona č. 309/1999 Sb., o Sbírce zákonů a o Sbírce mezinárodních smluv, ve znění pozdějších předpisů, na jehož základě lze stanovit dřívější den nabytí účinnosti právního předpisu než k 1. lednu nebo k 1. červenci kalendářního roku.</w:t>
      </w:r>
    </w:p>
    <w:sectPr w:rsidR="00BA07C5" w:rsidRPr="005B5EC8" w:rsidSect="00850A94">
      <w:footerReference w:type="default" r:id="rId7"/>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53829" w14:textId="77777777" w:rsidR="00DA1B0F" w:rsidRDefault="005B5EC8">
      <w:pPr>
        <w:spacing w:after="0" w:line="240" w:lineRule="auto"/>
      </w:pPr>
      <w:r>
        <w:separator/>
      </w:r>
    </w:p>
  </w:endnote>
  <w:endnote w:type="continuationSeparator" w:id="0">
    <w:p w14:paraId="64155DE6" w14:textId="77777777" w:rsidR="00DA1B0F" w:rsidRDefault="005B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8C472" w14:textId="77777777" w:rsidR="00F81445" w:rsidRDefault="00BA07C5">
    <w:pPr>
      <w:pStyle w:val="Zpat"/>
      <w:jc w:val="center"/>
    </w:pPr>
    <w:r>
      <w:fldChar w:fldCharType="begin"/>
    </w:r>
    <w:r>
      <w:instrText>PAGE   \* MERGEFORMAT</w:instrText>
    </w:r>
    <w:r>
      <w:fldChar w:fldCharType="separate"/>
    </w:r>
    <w:r>
      <w:rPr>
        <w:noProof/>
      </w:rPr>
      <w:t>2</w:t>
    </w:r>
    <w:r>
      <w:fldChar w:fldCharType="end"/>
    </w:r>
  </w:p>
  <w:p w14:paraId="21D5329E" w14:textId="77777777" w:rsidR="00F81445" w:rsidRDefault="004946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B9A26" w14:textId="77777777" w:rsidR="00DA1B0F" w:rsidRDefault="005B5EC8">
      <w:pPr>
        <w:spacing w:after="0" w:line="240" w:lineRule="auto"/>
      </w:pPr>
      <w:r>
        <w:separator/>
      </w:r>
    </w:p>
  </w:footnote>
  <w:footnote w:type="continuationSeparator" w:id="0">
    <w:p w14:paraId="2E7AAD06" w14:textId="77777777" w:rsidR="00DA1B0F" w:rsidRDefault="005B5EC8">
      <w:pPr>
        <w:spacing w:after="0" w:line="240" w:lineRule="auto"/>
      </w:pPr>
      <w:r>
        <w:continuationSeparator/>
      </w:r>
    </w:p>
  </w:footnote>
  <w:footnote w:id="1">
    <w:p w14:paraId="2E85E47D" w14:textId="77777777" w:rsidR="00CD4441" w:rsidRPr="00065543" w:rsidRDefault="00CD4441" w:rsidP="00CD4441">
      <w:pPr>
        <w:pStyle w:val="Textpoznpodarou1"/>
        <w:spacing w:before="120"/>
        <w:jc w:val="both"/>
      </w:pPr>
      <w:r w:rsidRPr="00065543">
        <w:rPr>
          <w:rStyle w:val="Znakapoznpodarou"/>
        </w:rPr>
        <w:footnoteRef/>
      </w:r>
      <w:r w:rsidRPr="00065543">
        <w:t xml:space="preserve"> </w:t>
      </w:r>
      <w:r w:rsidRPr="00CD4441">
        <w:t>Nařízení Evropského parlamentu a Rady (EU) 2019/816 ze dne 17. dubna 2019, kterým se zřizuje centralizovaný systém pro identifikaci členských států, jež mají informace o odsouzeních státních příslušníků třetích zemí a osob bez státní příslušnosti (ECRIS-TCN), na doplnění Evropského informačního systému rejstříků trestů, a kterým se mění nařízení (EU) 2018/1726</w:t>
      </w:r>
    </w:p>
  </w:footnote>
  <w:footnote w:id="2">
    <w:p w14:paraId="215B36D9" w14:textId="731A9D22" w:rsidR="00CD4441" w:rsidRDefault="00CD4441" w:rsidP="00715ACD">
      <w:pPr>
        <w:spacing w:before="120" w:after="0" w:line="240" w:lineRule="auto"/>
        <w:jc w:val="both"/>
      </w:pPr>
      <w:r w:rsidRPr="00715ACD">
        <w:rPr>
          <w:rStyle w:val="Znakapoznpodarou"/>
          <w:lang w:eastAsia="en-US"/>
        </w:rPr>
        <w:footnoteRef/>
      </w:r>
      <w:r w:rsidRPr="00715ACD">
        <w:rPr>
          <w:rStyle w:val="Znakapoznpodarou"/>
          <w:lang w:eastAsia="en-US"/>
        </w:rPr>
        <w:t xml:space="preserve"> </w:t>
      </w:r>
      <w:r w:rsidRPr="00065543">
        <w:t>S</w:t>
      </w:r>
      <w:r w:rsidRPr="00CD4441">
        <w:t>měrnic</w:t>
      </w:r>
      <w:r w:rsidRPr="00065543">
        <w:t>e</w:t>
      </w:r>
      <w:r w:rsidRPr="00CD4441">
        <w:t xml:space="preserve"> Evropského parlamentu a Rady (EU) 2019/884 ze dne 17.</w:t>
      </w:r>
      <w:r w:rsidRPr="00065543">
        <w:t> </w:t>
      </w:r>
      <w:r w:rsidRPr="00CD4441">
        <w:t>dubna 2019, kterou se mění rámcové rozhodnutí Rady 2009/315/SVV, pokud jde o výměnu informací o státních příslušnících třetích zemí a o Evropský informační systém rejstříků trestů (ECRIS)</w:t>
      </w:r>
    </w:p>
  </w:footnote>
  <w:footnote w:id="3">
    <w:p w14:paraId="4353E5AB" w14:textId="499FF4AC" w:rsidR="00CD4441" w:rsidRPr="00802967" w:rsidRDefault="00CD4441" w:rsidP="00CD4441">
      <w:pPr>
        <w:pStyle w:val="Textpoznpodarou1"/>
        <w:spacing w:before="120"/>
        <w:jc w:val="both"/>
      </w:pPr>
      <w:r w:rsidRPr="006A6917">
        <w:rPr>
          <w:rStyle w:val="Znakapoznpodarou"/>
        </w:rPr>
        <w:footnoteRef/>
      </w:r>
      <w:r w:rsidRPr="006A6917">
        <w:t xml:space="preserve"> </w:t>
      </w:r>
      <w:r w:rsidR="00B830D0">
        <w:t>„</w:t>
      </w:r>
      <w:r w:rsidRPr="006A6917">
        <w:rPr>
          <w:shd w:val="clear" w:color="auto" w:fill="FFFFFF"/>
        </w:rPr>
        <w:t>Členské státy přijmou opatření nezbytná k zajištění toho, aby zaměstnavatelé při náboru osoby pro účely výkonu profesní nebo organizované dobrovolné činnosti, která zahrnuje přímý a pravidelný kontakt s dětmi, měli právo vhodným způsobem, jako například na základě žádosti o výpis z rejstříku trestů nebo prostřednictvím dotčené osoby, a v souladu s vnitrostátním právem požadovat informace o tom, zda byla dotčená osoba odsouzena za některý z trestných činů uvedených v článcích 3 až 7 a zda je o tom veden záznam v rejstříku trestů nebo zda jí bylo z důvodu odsouzení za některý z těchto trestných činů zakázáno vykonávat činnosti, při nichž by vstupovala do přímého a pravidelného kontaktu s dětmi.</w:t>
      </w:r>
      <w:r w:rsidR="00B830D0">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6037F" w14:textId="225BAD35" w:rsidR="00850A94" w:rsidRPr="00850A94" w:rsidRDefault="00BA07C5" w:rsidP="00850A94">
    <w:pPr>
      <w:pStyle w:val="Zhlav"/>
      <w:jc w:val="right"/>
      <w:rPr>
        <w:sz w:val="24"/>
      </w:rPr>
    </w:pPr>
    <w:r w:rsidRPr="00850A94">
      <w:rPr>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105C"/>
    <w:multiLevelType w:val="hybridMultilevel"/>
    <w:tmpl w:val="CA40AAC4"/>
    <w:lvl w:ilvl="0" w:tplc="3AF094B0">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314397"/>
    <w:multiLevelType w:val="hybridMultilevel"/>
    <w:tmpl w:val="6CC40D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C5"/>
    <w:rsid w:val="00016C49"/>
    <w:rsid w:val="00037E1E"/>
    <w:rsid w:val="00076060"/>
    <w:rsid w:val="000B296A"/>
    <w:rsid w:val="000F428D"/>
    <w:rsid w:val="00135D2E"/>
    <w:rsid w:val="00161C07"/>
    <w:rsid w:val="00255135"/>
    <w:rsid w:val="0027547C"/>
    <w:rsid w:val="002E17A7"/>
    <w:rsid w:val="00333506"/>
    <w:rsid w:val="003423A0"/>
    <w:rsid w:val="00411B71"/>
    <w:rsid w:val="00424E33"/>
    <w:rsid w:val="00494643"/>
    <w:rsid w:val="00543960"/>
    <w:rsid w:val="005546A6"/>
    <w:rsid w:val="005B293A"/>
    <w:rsid w:val="005B5EC8"/>
    <w:rsid w:val="005B7887"/>
    <w:rsid w:val="005E0741"/>
    <w:rsid w:val="00686243"/>
    <w:rsid w:val="006E5726"/>
    <w:rsid w:val="0070013A"/>
    <w:rsid w:val="0070050C"/>
    <w:rsid w:val="00715ACD"/>
    <w:rsid w:val="00774496"/>
    <w:rsid w:val="007C788C"/>
    <w:rsid w:val="007D0FD3"/>
    <w:rsid w:val="00807588"/>
    <w:rsid w:val="008D4683"/>
    <w:rsid w:val="009342BC"/>
    <w:rsid w:val="00A82F3E"/>
    <w:rsid w:val="00AF56C5"/>
    <w:rsid w:val="00B4375C"/>
    <w:rsid w:val="00B830D0"/>
    <w:rsid w:val="00BA07C5"/>
    <w:rsid w:val="00BF358C"/>
    <w:rsid w:val="00C37E89"/>
    <w:rsid w:val="00CA651F"/>
    <w:rsid w:val="00CD4441"/>
    <w:rsid w:val="00D35BEE"/>
    <w:rsid w:val="00DA1B0F"/>
    <w:rsid w:val="00F45FF0"/>
    <w:rsid w:val="00F56B03"/>
    <w:rsid w:val="00F83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2955"/>
  <w15:chartTrackingRefBased/>
  <w15:docId w15:val="{69FB1722-5C2A-436B-B312-B15F7B58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07C5"/>
    <w:pPr>
      <w:spacing w:after="200" w:line="276" w:lineRule="auto"/>
    </w:pPr>
    <w:rPr>
      <w:rFonts w:ascii="Times New Roman" w:eastAsia="Calibri"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BA07C5"/>
    <w:pPr>
      <w:tabs>
        <w:tab w:val="center" w:pos="4536"/>
        <w:tab w:val="right" w:pos="9072"/>
      </w:tabs>
      <w:spacing w:after="0" w:line="240" w:lineRule="auto"/>
    </w:pPr>
    <w:rPr>
      <w:rFonts w:eastAsia="Times New Roman"/>
      <w:sz w:val="24"/>
      <w:szCs w:val="24"/>
    </w:rPr>
  </w:style>
  <w:style w:type="character" w:customStyle="1" w:styleId="ZpatChar">
    <w:name w:val="Zápatí Char"/>
    <w:basedOn w:val="Standardnpsmoodstavce"/>
    <w:link w:val="Zpat"/>
    <w:uiPriority w:val="99"/>
    <w:rsid w:val="00BA07C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A07C5"/>
    <w:pPr>
      <w:tabs>
        <w:tab w:val="center" w:pos="4536"/>
        <w:tab w:val="right" w:pos="9072"/>
      </w:tabs>
    </w:pPr>
  </w:style>
  <w:style w:type="character" w:customStyle="1" w:styleId="ZhlavChar">
    <w:name w:val="Záhlaví Char"/>
    <w:basedOn w:val="Standardnpsmoodstavce"/>
    <w:link w:val="Zhlav"/>
    <w:uiPriority w:val="99"/>
    <w:rsid w:val="00BA07C5"/>
    <w:rPr>
      <w:rFonts w:ascii="Times New Roman" w:eastAsia="Calibri" w:hAnsi="Times New Roman" w:cs="Times New Roman"/>
      <w:sz w:val="20"/>
      <w:szCs w:val="20"/>
      <w:lang w:eastAsia="cs-CZ"/>
    </w:rPr>
  </w:style>
  <w:style w:type="paragraph" w:customStyle="1" w:styleId="Textpoznpodarou1">
    <w:name w:val="Text pozn. pod čarou1"/>
    <w:basedOn w:val="Normln"/>
    <w:next w:val="Textpoznpodarou"/>
    <w:link w:val="TextpoznpodarouChar"/>
    <w:uiPriority w:val="99"/>
    <w:semiHidden/>
    <w:unhideWhenUsed/>
    <w:rsid w:val="00CD4441"/>
    <w:pPr>
      <w:spacing w:after="0" w:line="240" w:lineRule="auto"/>
    </w:pPr>
    <w:rPr>
      <w:lang w:eastAsia="en-US"/>
    </w:rPr>
  </w:style>
  <w:style w:type="character" w:customStyle="1" w:styleId="TextpoznpodarouChar">
    <w:name w:val="Text pozn. pod čarou Char"/>
    <w:basedOn w:val="Standardnpsmoodstavce"/>
    <w:link w:val="Textpoznpodarou1"/>
    <w:uiPriority w:val="99"/>
    <w:semiHidden/>
    <w:rsid w:val="00CD4441"/>
    <w:rPr>
      <w:rFonts w:ascii="Times New Roman" w:eastAsia="Calibri" w:hAnsi="Times New Roman" w:cs="Times New Roman"/>
      <w:sz w:val="20"/>
      <w:szCs w:val="20"/>
    </w:rPr>
  </w:style>
  <w:style w:type="character" w:styleId="Znakapoznpodarou">
    <w:name w:val="footnote reference"/>
    <w:basedOn w:val="Standardnpsmoodstavce"/>
    <w:uiPriority w:val="99"/>
    <w:semiHidden/>
    <w:unhideWhenUsed/>
    <w:rsid w:val="00CD4441"/>
    <w:rPr>
      <w:vertAlign w:val="superscript"/>
    </w:rPr>
  </w:style>
  <w:style w:type="paragraph" w:styleId="Textpoznpodarou">
    <w:name w:val="footnote text"/>
    <w:basedOn w:val="Normln"/>
    <w:link w:val="TextpoznpodarouChar1"/>
    <w:uiPriority w:val="99"/>
    <w:semiHidden/>
    <w:unhideWhenUsed/>
    <w:rsid w:val="00CD4441"/>
    <w:pPr>
      <w:spacing w:after="0" w:line="240" w:lineRule="auto"/>
    </w:pPr>
  </w:style>
  <w:style w:type="character" w:customStyle="1" w:styleId="TextpoznpodarouChar1">
    <w:name w:val="Text pozn. pod čarou Char1"/>
    <w:basedOn w:val="Standardnpsmoodstavce"/>
    <w:link w:val="Textpoznpodarou"/>
    <w:uiPriority w:val="99"/>
    <w:semiHidden/>
    <w:rsid w:val="00CD4441"/>
    <w:rPr>
      <w:rFonts w:ascii="Times New Roman" w:eastAsia="Calibri" w:hAnsi="Times New Roman" w:cs="Times New Roman"/>
      <w:sz w:val="20"/>
      <w:szCs w:val="20"/>
      <w:lang w:eastAsia="cs-CZ"/>
    </w:rPr>
  </w:style>
  <w:style w:type="paragraph" w:styleId="Odstavecseseznamem">
    <w:name w:val="List Paragraph"/>
    <w:basedOn w:val="Normln"/>
    <w:uiPriority w:val="34"/>
    <w:qFormat/>
    <w:rsid w:val="005546A6"/>
    <w:pPr>
      <w:ind w:left="720"/>
      <w:contextualSpacing/>
    </w:pPr>
  </w:style>
  <w:style w:type="paragraph" w:styleId="Revize">
    <w:name w:val="Revision"/>
    <w:hidden/>
    <w:uiPriority w:val="99"/>
    <w:semiHidden/>
    <w:rsid w:val="0070013A"/>
    <w:pPr>
      <w:spacing w:after="0" w:line="240" w:lineRule="auto"/>
    </w:pPr>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029683">
      <w:bodyDiv w:val="1"/>
      <w:marLeft w:val="0"/>
      <w:marRight w:val="0"/>
      <w:marTop w:val="0"/>
      <w:marBottom w:val="0"/>
      <w:divBdr>
        <w:top w:val="none" w:sz="0" w:space="0" w:color="auto"/>
        <w:left w:val="none" w:sz="0" w:space="0" w:color="auto"/>
        <w:bottom w:val="none" w:sz="0" w:space="0" w:color="auto"/>
        <w:right w:val="none" w:sz="0" w:space="0" w:color="auto"/>
      </w:divBdr>
    </w:div>
    <w:div w:id="20026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7</Pages>
  <Words>2767</Words>
  <Characters>16331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w13028</dc:creator>
  <cp:keywords/>
  <dc:description/>
  <cp:lastModifiedBy>Forejt Petr Mgr.</cp:lastModifiedBy>
  <cp:revision>27</cp:revision>
  <cp:lastPrinted>2022-02-14T06:54:00Z</cp:lastPrinted>
  <dcterms:created xsi:type="dcterms:W3CDTF">2022-02-03T18:32:00Z</dcterms:created>
  <dcterms:modified xsi:type="dcterms:W3CDTF">2022-02-14T08:19:00Z</dcterms:modified>
</cp:coreProperties>
</file>