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685" w:rsidRDefault="00F87685">
      <w:pPr>
        <w:keepNext/>
        <w:keepLines/>
        <w:pBdr>
          <w:top w:val="nil"/>
          <w:left w:val="nil"/>
          <w:bottom w:val="nil"/>
          <w:right w:val="nil"/>
          <w:between w:val="nil"/>
        </w:pBdr>
        <w:spacing w:line="240" w:lineRule="auto"/>
        <w:ind w:left="0" w:hanging="2"/>
        <w:jc w:val="center"/>
        <w:rPr>
          <w:b/>
          <w:smallCaps/>
        </w:rPr>
      </w:pPr>
    </w:p>
    <w:p w:rsidR="00F87685" w:rsidRDefault="00906DEF" w:rsidP="006E65BC">
      <w:pPr>
        <w:keepNext/>
        <w:keepLines/>
        <w:pBdr>
          <w:top w:val="nil"/>
          <w:left w:val="nil"/>
          <w:bottom w:val="nil"/>
          <w:right w:val="nil"/>
          <w:between w:val="nil"/>
        </w:pBdr>
        <w:spacing w:line="240" w:lineRule="auto"/>
        <w:ind w:left="0" w:hanging="2"/>
        <w:jc w:val="center"/>
        <w:rPr>
          <w:b/>
          <w:color w:val="000000"/>
        </w:rPr>
      </w:pPr>
      <w:r>
        <w:rPr>
          <w:b/>
          <w:smallCaps/>
          <w:color w:val="000000"/>
        </w:rPr>
        <w:t>INSTRUKCE</w:t>
      </w:r>
    </w:p>
    <w:p w:rsidR="00F87685" w:rsidRDefault="00906DEF">
      <w:pPr>
        <w:keepNext/>
        <w:keepLines/>
        <w:pBdr>
          <w:top w:val="nil"/>
          <w:left w:val="nil"/>
          <w:bottom w:val="nil"/>
          <w:right w:val="nil"/>
          <w:between w:val="nil"/>
        </w:pBdr>
        <w:spacing w:line="240" w:lineRule="auto"/>
        <w:ind w:left="0" w:hanging="2"/>
        <w:jc w:val="center"/>
        <w:rPr>
          <w:color w:val="000000"/>
        </w:rPr>
      </w:pPr>
      <w:r>
        <w:rPr>
          <w:b/>
          <w:color w:val="000000"/>
        </w:rPr>
        <w:t>M</w:t>
      </w:r>
      <w:r w:rsidR="006E65BC">
        <w:rPr>
          <w:b/>
          <w:color w:val="000000"/>
        </w:rPr>
        <w:t>inisterstva spravedlnosti č. 2/2021</w:t>
      </w:r>
    </w:p>
    <w:p w:rsidR="00F87685" w:rsidRDefault="00DB22E8">
      <w:pPr>
        <w:keepNext/>
        <w:keepLines/>
        <w:pBdr>
          <w:top w:val="nil"/>
          <w:left w:val="nil"/>
          <w:bottom w:val="nil"/>
          <w:right w:val="nil"/>
          <w:between w:val="nil"/>
        </w:pBdr>
        <w:spacing w:line="240" w:lineRule="auto"/>
        <w:ind w:left="0" w:hanging="2"/>
        <w:jc w:val="center"/>
        <w:rPr>
          <w:color w:val="000000"/>
        </w:rPr>
      </w:pPr>
      <w:r>
        <w:rPr>
          <w:b/>
          <w:color w:val="000000"/>
        </w:rPr>
        <w:t>ze dne 23. 2. 2021</w:t>
      </w:r>
      <w:bookmarkStart w:id="0" w:name="_GoBack"/>
      <w:bookmarkEnd w:id="0"/>
      <w:r w:rsidR="00906DEF">
        <w:rPr>
          <w:b/>
          <w:color w:val="000000"/>
        </w:rPr>
        <w:t xml:space="preserve"> č. j. 1/2021-ODKA-MET,</w:t>
      </w:r>
    </w:p>
    <w:p w:rsidR="00F87685" w:rsidRDefault="00906DEF">
      <w:pPr>
        <w:keepNext/>
        <w:keepLines/>
        <w:pBdr>
          <w:top w:val="nil"/>
          <w:left w:val="nil"/>
          <w:bottom w:val="nil"/>
          <w:right w:val="nil"/>
          <w:between w:val="nil"/>
        </w:pBdr>
        <w:spacing w:line="240" w:lineRule="auto"/>
        <w:ind w:left="0" w:hanging="2"/>
        <w:jc w:val="center"/>
        <w:rPr>
          <w:color w:val="000000"/>
        </w:rPr>
      </w:pPr>
      <w:r>
        <w:rPr>
          <w:b/>
          <w:color w:val="000000"/>
        </w:rPr>
        <w:t xml:space="preserve">kterou se mění Instrukce Ministerstva spravedlnosti ze dne 3. 12. 2001, </w:t>
      </w:r>
      <w:r>
        <w:rPr>
          <w:b/>
          <w:color w:val="000000"/>
        </w:rPr>
        <w:br/>
        <w:t>č. j. </w:t>
      </w:r>
      <w:proofErr w:type="gramStart"/>
      <w:r>
        <w:rPr>
          <w:b/>
          <w:color w:val="000000"/>
        </w:rPr>
        <w:t>505/2001</w:t>
      </w:r>
      <w:proofErr w:type="gramEnd"/>
      <w:r>
        <w:rPr>
          <w:b/>
          <w:color w:val="000000"/>
        </w:rPr>
        <w:t>–</w:t>
      </w:r>
      <w:proofErr w:type="spellStart"/>
      <w:proofErr w:type="gramStart"/>
      <w:r>
        <w:rPr>
          <w:b/>
          <w:color w:val="000000"/>
        </w:rPr>
        <w:t>Org</w:t>
      </w:r>
      <w:proofErr w:type="spellEnd"/>
      <w:proofErr w:type="gramEnd"/>
      <w:r>
        <w:rPr>
          <w:b/>
          <w:color w:val="000000"/>
        </w:rPr>
        <w:t>, kterou se vydává vnitřní a kancelářský řád pro okresní, krajské a vrchní soudy, uveřejněná pod č. 1/2002 Sbírky instrukcí a sdělení,</w:t>
      </w:r>
      <w:r>
        <w:rPr>
          <w:b/>
          <w:color w:val="000000"/>
        </w:rPr>
        <w:br/>
        <w:t>ve znění pozdějších předpisů</w:t>
      </w:r>
    </w:p>
    <w:p w:rsidR="00F87685" w:rsidRDefault="00F87685">
      <w:pPr>
        <w:keepNext/>
        <w:keepLines/>
        <w:pBdr>
          <w:top w:val="nil"/>
          <w:left w:val="nil"/>
          <w:bottom w:val="nil"/>
          <w:right w:val="nil"/>
          <w:between w:val="nil"/>
        </w:pBdr>
        <w:spacing w:line="240" w:lineRule="auto"/>
        <w:ind w:left="0" w:hanging="2"/>
        <w:jc w:val="center"/>
        <w:rPr>
          <w:color w:val="000000"/>
        </w:rPr>
      </w:pPr>
    </w:p>
    <w:p w:rsidR="00F87685" w:rsidRDefault="00906DEF">
      <w:pPr>
        <w:keepNext/>
        <w:keepLines/>
        <w:pBdr>
          <w:top w:val="nil"/>
          <w:left w:val="nil"/>
          <w:bottom w:val="nil"/>
          <w:right w:val="nil"/>
          <w:between w:val="nil"/>
        </w:pBdr>
        <w:spacing w:line="240" w:lineRule="auto"/>
        <w:ind w:left="0" w:hanging="2"/>
        <w:jc w:val="both"/>
        <w:rPr>
          <w:color w:val="000000"/>
        </w:rPr>
      </w:pPr>
      <w:r>
        <w:rPr>
          <w:color w:val="000000"/>
        </w:rPr>
        <w:t>Ministerstvo spravedlnosti stanoví:</w:t>
      </w:r>
    </w:p>
    <w:p w:rsidR="00F87685" w:rsidRDefault="00F87685">
      <w:pPr>
        <w:keepNext/>
        <w:keepLines/>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center"/>
        <w:rPr>
          <w:color w:val="000000"/>
        </w:rPr>
      </w:pPr>
      <w:r>
        <w:rPr>
          <w:b/>
          <w:color w:val="000000"/>
        </w:rPr>
        <w:t>ČÁST PRVNÍ</w:t>
      </w:r>
      <w:r>
        <w:rPr>
          <w:b/>
          <w:color w:val="000000"/>
        </w:rPr>
        <w:br/>
        <w:t>Změna vnitřního a kancelářského řádu pro okresní, krajské a vrchní soudy</w:t>
      </w:r>
    </w:p>
    <w:p w:rsidR="00F87685" w:rsidRDefault="00F87685">
      <w:pPr>
        <w:pBdr>
          <w:top w:val="nil"/>
          <w:left w:val="nil"/>
          <w:bottom w:val="nil"/>
          <w:right w:val="nil"/>
          <w:between w:val="nil"/>
        </w:pBdr>
        <w:spacing w:line="240" w:lineRule="auto"/>
        <w:ind w:left="0" w:hanging="2"/>
        <w:jc w:val="center"/>
        <w:rPr>
          <w:color w:val="000000"/>
        </w:rPr>
      </w:pPr>
    </w:p>
    <w:p w:rsidR="00F87685" w:rsidRDefault="00906DEF">
      <w:pPr>
        <w:pBdr>
          <w:top w:val="nil"/>
          <w:left w:val="nil"/>
          <w:bottom w:val="nil"/>
          <w:right w:val="nil"/>
          <w:between w:val="nil"/>
        </w:pBdr>
        <w:spacing w:line="240" w:lineRule="auto"/>
        <w:ind w:left="0" w:hanging="2"/>
        <w:jc w:val="center"/>
        <w:rPr>
          <w:color w:val="000000"/>
        </w:rPr>
      </w:pPr>
      <w:r>
        <w:rPr>
          <w:b/>
          <w:color w:val="000000"/>
        </w:rPr>
        <w:t>Čl.</w:t>
      </w:r>
      <w:bookmarkStart w:id="1" w:name="bookmark=id.gjdgxs" w:colFirst="0" w:colLast="0"/>
      <w:bookmarkEnd w:id="1"/>
      <w:r>
        <w:rPr>
          <w:b/>
          <w:color w:val="000000"/>
        </w:rPr>
        <w:t> I</w:t>
      </w:r>
    </w:p>
    <w:p w:rsidR="00F87685" w:rsidRDefault="00F87685">
      <w:pPr>
        <w:pBdr>
          <w:top w:val="nil"/>
          <w:left w:val="nil"/>
          <w:bottom w:val="nil"/>
          <w:right w:val="nil"/>
          <w:between w:val="nil"/>
        </w:pBdr>
        <w:spacing w:line="240" w:lineRule="auto"/>
        <w:ind w:left="0" w:hanging="2"/>
        <w:jc w:val="center"/>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 xml:space="preserve">Instrukce Ministerstva spravedlnosti ze dne 3. prosince 2001, č. j. 505/2001-Org, kterou se vydává vnitřní a kancelářský řád pro okresní, krajské a vrchní soudy, uveřejněná pod č. 1/2002 Sbírky instrukcí a sdělení Ministerstva spravedlnosti, ve znění instrukce Ministerstva spravedlnosti ze dne 23. prosince 2002, č. j. 423/2002-Org, uveřejněné pod č. 16/2003 Sbírky instrukcí a sdělení Ministerstva spravedlnosti, instrukce Ministerstva spravedlnosti ze dne 10. prosince 2003, č. j. 409/2003-Org, uveřejněné pod č. 1/2004 Sbírky instrukcí a sdělení Ministerstva spravedlnosti, instrukce Ministerstva spravedlnosti ze dne 14. června 2004, č. j. 192/2004-Org, uveřejněné pod č. 4/2004 Sbírky instrukcí a sdělení Ministerstva spravedlnosti, instrukce Ministerstva spravedlnosti ze dne 2. prosince 2004, č. j. 515/2004-Org, uveřejněné pod č. 38/2004 Sbírky instrukcí a sdělení Ministerstva spravedlnosti, instrukce Ministerstva spravedlnosti ze dne 23. února 2005, č. j. 81/2002-MO-J/142, uveřejněné pod č. 14/2006 Sbírky instrukcí a sdělení Ministerstva spravedlnosti, instrukce Ministerstva spravedlnosti ze dne 23. srpna 2006, č. j. 268/2006-Org, uveřejněné pod č. 29/2007 Sbírky instrukcí a sdělení Ministerstva spravedlnosti, instrukce Ministerstva spravedlnosti ze dne 7. prosince 2006, č. j. 458/2006-Org, uveřejněné pod č. 30/2007 Sbírky instrukcí a sdělení Ministerstva spravedlnosti, instrukce Ministerstva spravedlnosti ze dne 24. srpna 2007, č. j. 66/2004-MO-J/155, uveřejněné pod č. 25/2007 Sbírky instrukcí a sdělení Ministerstva spravedlnosti, instrukce Ministerstva spravedlnosti ze dne 19. prosince 2007, č. j. 122/2007-ODS-ST, uveřejněné pod č. 3/2008 Sbírky instrukcí a sdělení Ministerstva spravedlnosti, instrukce Ministerstva spravedlnosti ze dne 10. července 2008, č. j. 120/2008-OD-ST, uveřejněné pod č. 12/2008 Sbírky instrukcí a sdělení Ministerstva spravedlnosti, instrukce Ministerstva spravedlnosti ze dne 9. ledna 2009, č. j. 152/2008-OD-ST, uveřejněné pod č. 3/2009 Sbírky instrukcí a sdělení Ministerstva spravedlnosti, instrukce Ministerstva spravedlnosti ze dne 22. června 2009, č. j. 50/2009-OD-ST, uveřejněné pod č. 15/2009 Sbírky instrukcí a sdělení Ministerstva spravedlnosti, instrukce Ministerstva spravedlnosti ze dne 22. prosince 2009, č. j. 152/2009-OD-ST, uveřejněné pod č. 2/2010 Sbírky instrukcí a sdělení Ministerstva spravedlnosti, instrukce Ministerstva spravedlnosti ze dne 23. dubna 2010, č. j. 81/2010-OD-ST, uveřejněné pod č. 5/2010 Sbírky instrukcí a sdělení Ministerstva spravedlnosti, instrukce Ministerstva spravedlnosti ze dne 20. prosince 2010, č. j. 181/2010-OD-ST, uveřejněné pod č. 3/2011 Sbírky instrukcí a sdělení Ministerstva spravedlnosti, instrukce Ministerstva spravedlnosti ze dne 31. prosince 2010, č. j. 57/2008-MOT-J/60, uveřejněné pod č. 8/2011 Sbírky instrukcí a sdělení Ministerstva spravedlnosti, instrukce Ministerstva spravedlnosti ze dne 8. září 2011, č. j. 121/2011-OD-ST, uveřejněné pod č. 23/2011 Sbírky instrukcí a sdělení Ministerstva spravedlnosti, instrukce Ministerstva </w:t>
      </w:r>
      <w:r>
        <w:rPr>
          <w:color w:val="000000"/>
        </w:rPr>
        <w:lastRenderedPageBreak/>
        <w:t>spravedlnosti ze dne 28. prosince 2011, č. j. 181/2011-OD-ST, uveřejněné pod č. 2/2012 Sbírky instrukcí a sdělení Ministerstva spravedlnosti, instrukce Ministerstva spravedlnosti ze dne 1. března 2012, č. j. 54/2012-OD-ST, uveřejněné pod č. 4/2012 Sbírky instrukcí a sdělení Ministerstva spravedlnosti, instrukce Ministerstva spravedlnosti ze dne 20. srpna 2012, č. j. 90/2012-OD-ST, uveřejněné pod č. 3/2012 Sbírky instrukcí a sdělení Ministerstva spravedlnosti, instrukce Ministerstva spravedlnosti ze dne 20. prosince 2012, č. j. 140/2012-OD-ST, uveřejněné pod č. 4/2013 Sbírky instrukcí a sdělení Ministerstva spravedlnosti, instrukce Ministerstva spravedlnosti ze dne 17. dubna 2013, č. j. 133/2012-OD-ST, uveřejněné pod č. 3/2013 Sbírky instrukcí a sdělení Ministerstva spravedlnosti, instrukce Ministerstva spravedlnosti ze dne 13. listopadu 2013, č. j. 50/2013-OD-MET, uveřejněné pod č. 2/2014 Sbírky instrukcí a sdělení Ministerstva spravedlnosti, instrukce Ministerstva spravedlnosti ze dne 8. června 2015, č. j. 52/2014-OD-MET, uveřejněné pod č. 1/2015 Sbírky instrukcí a sdělení Ministerstva spravedlnosti, instrukce Ministerstva spravedlnosti ze dne 23. října 2017, č. j. 12/2017-OJD-ORG/36, uveřejněné pod č. 4/2017 Sbírky instrukcí a sdělení Ministerstva spravedlnosti a instrukce Ministerstva spravedlnosti ze dne 12. března 2018, č. j. 2/2017-OOJ-MET, uveřejněné pod č. 4/2018 Sbírky instrukcí a sdělení Ministerstva spravedlnosti, se mění takto:</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rsidP="006E65BC">
      <w:pPr>
        <w:pBdr>
          <w:top w:val="nil"/>
          <w:left w:val="nil"/>
          <w:bottom w:val="nil"/>
          <w:right w:val="nil"/>
          <w:between w:val="nil"/>
        </w:pBdr>
        <w:spacing w:line="240" w:lineRule="auto"/>
        <w:ind w:left="567" w:hangingChars="237" w:hanging="569"/>
        <w:jc w:val="both"/>
        <w:rPr>
          <w:color w:val="000000"/>
        </w:rPr>
      </w:pPr>
      <w:r>
        <w:rPr>
          <w:b/>
          <w:color w:val="000000"/>
        </w:rPr>
        <w:t xml:space="preserve">1. </w:t>
      </w:r>
      <w:r>
        <w:rPr>
          <w:b/>
          <w:color w:val="000000"/>
        </w:rPr>
        <w:tab/>
      </w:r>
      <w:r>
        <w:rPr>
          <w:color w:val="000000"/>
        </w:rPr>
        <w:t xml:space="preserve">Za § 90h se vkládají nové § 90i a § 90j, které včetně nadpisů a poznámky pod čarou č. 73 znějí: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center"/>
        <w:rPr>
          <w:color w:val="000000"/>
        </w:rPr>
      </w:pPr>
      <w:r>
        <w:rPr>
          <w:color w:val="000000"/>
        </w:rPr>
        <w:t>„</w:t>
      </w:r>
      <w:r>
        <w:rPr>
          <w:b/>
          <w:color w:val="000000"/>
        </w:rPr>
        <w:t>§ 90i</w:t>
      </w:r>
    </w:p>
    <w:p w:rsidR="00F87685" w:rsidRDefault="00906DEF">
      <w:pPr>
        <w:pBdr>
          <w:top w:val="nil"/>
          <w:left w:val="nil"/>
          <w:bottom w:val="nil"/>
          <w:right w:val="nil"/>
          <w:between w:val="nil"/>
        </w:pBdr>
        <w:spacing w:line="240" w:lineRule="auto"/>
        <w:ind w:left="0" w:hanging="2"/>
        <w:jc w:val="center"/>
        <w:rPr>
          <w:color w:val="000000"/>
        </w:rPr>
      </w:pPr>
      <w:r>
        <w:rPr>
          <w:b/>
          <w:color w:val="000000"/>
        </w:rPr>
        <w:t>Postup při nařízení výkonu ochranné výchovy</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rsidP="006E65BC">
      <w:pPr>
        <w:pBdr>
          <w:top w:val="nil"/>
          <w:left w:val="nil"/>
          <w:bottom w:val="nil"/>
          <w:right w:val="nil"/>
          <w:between w:val="nil"/>
        </w:pBdr>
        <w:spacing w:line="240" w:lineRule="auto"/>
        <w:ind w:leftChars="0" w:left="0" w:firstLineChars="0" w:firstLine="720"/>
        <w:jc w:val="both"/>
        <w:rPr>
          <w:color w:val="000000"/>
        </w:rPr>
      </w:pPr>
      <w:r>
        <w:rPr>
          <w:color w:val="000000"/>
        </w:rPr>
        <w:t>(1) Předseda senátu soudu pro mládež, který ve věci rozhodoval v prvním stupni, současně s nařízením výkonu ochranné výchovy</w:t>
      </w:r>
      <w:r>
        <w:rPr>
          <w:color w:val="000000"/>
          <w:vertAlign w:val="superscript"/>
        </w:rPr>
        <w:t>73)</w:t>
      </w:r>
      <w:r>
        <w:rPr>
          <w:color w:val="000000"/>
        </w:rPr>
        <w:t xml:space="preserve"> požádá výchovné zařízení, aby nejméně jednou za 6 měsíců trvání výkonu ochranné výchovy zaslalo okresnímu soudu pro mládež, v jehož obvodu se ochranná výchova vykonává, zprávu o průběhu výkonu ochranné výchovy. </w:t>
      </w:r>
    </w:p>
    <w:p w:rsidR="00F87685" w:rsidRDefault="00F87685">
      <w:pPr>
        <w:pBdr>
          <w:top w:val="nil"/>
          <w:left w:val="nil"/>
          <w:bottom w:val="nil"/>
          <w:right w:val="nil"/>
          <w:between w:val="nil"/>
        </w:pBdr>
        <w:spacing w:line="240" w:lineRule="auto"/>
        <w:ind w:left="0" w:hanging="2"/>
        <w:jc w:val="both"/>
        <w:rPr>
          <w:color w:val="000000"/>
        </w:rPr>
      </w:pPr>
    </w:p>
    <w:p w:rsidR="00F87685" w:rsidRDefault="006E65BC">
      <w:pPr>
        <w:pBdr>
          <w:top w:val="nil"/>
          <w:left w:val="nil"/>
          <w:bottom w:val="nil"/>
          <w:right w:val="nil"/>
          <w:between w:val="nil"/>
        </w:pBdr>
        <w:spacing w:line="240" w:lineRule="auto"/>
        <w:ind w:left="0" w:hanging="2"/>
        <w:jc w:val="both"/>
        <w:rPr>
          <w:color w:val="000000"/>
        </w:rPr>
      </w:pPr>
      <w:r>
        <w:rPr>
          <w:color w:val="000000"/>
        </w:rPr>
        <w:tab/>
      </w:r>
      <w:r w:rsidR="00906DEF">
        <w:rPr>
          <w:color w:val="000000"/>
        </w:rPr>
        <w:tab/>
        <w:t>(2) Současně s nařízením výkonu ochranné výchovy uloží podle § 34a předseda senátu soudu pro mládež, který ve věci rozhodoval v prvním stupni, orgánu sociálně-právní ochrany dětí, aby okresnímu soudu pro mládež, v jehož obvodu se ochranná výchova vykonává, zaslal nejméně jednou za 6 měsíců trvání výkonu ochranné výchovy zprávu o sledování výkonu ochranné výchovy a o aktuálních poměrech mladistvého.</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(3) Jestliže má být ochranná výchova na mladistvém vykonávána po skončení výkonu trestního opatření odnětí svobody, předseda senátu soudu pro mládež do nařízení výkonu trestního opatření odnětí svobody uvede výchovné zařízení, do nějž má být mladistvý po</w:t>
      </w:r>
      <w:r w:rsidR="006E65BC">
        <w:rPr>
          <w:color w:val="000000"/>
        </w:rPr>
        <w:t> </w:t>
      </w:r>
      <w:r>
        <w:rPr>
          <w:color w:val="000000"/>
        </w:rPr>
        <w:t xml:space="preserve">skončení výkonu trestního opatření dodán. Jestliže bylo od výkonu ochranné výchovy upuštěno, </w:t>
      </w:r>
      <w:r>
        <w:t>nebo</w:t>
      </w:r>
      <w:r>
        <w:rPr>
          <w:color w:val="000000"/>
        </w:rPr>
        <w:t xml:space="preserve"> došlo k jiné </w:t>
      </w:r>
      <w:r>
        <w:t>skutečnosti</w:t>
      </w:r>
      <w:r>
        <w:rPr>
          <w:color w:val="000000"/>
        </w:rPr>
        <w:t xml:space="preserve">, v jejímž důsledku nemá mladistvý být do výkonu ochranné výchovy dodán, je třeba o tom vyrozumět věznici, v níž je trestní opatření odnětí svobody vykonáváno, a </w:t>
      </w:r>
      <w:r>
        <w:t>výchovné zařízení, do nějž měl být mladistvý po skončení výkonu trestního opatření dodán</w:t>
      </w:r>
      <w:r>
        <w:rPr>
          <w:color w:val="000000"/>
        </w:rPr>
        <w:t xml:space="preserve">.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center"/>
        <w:rPr>
          <w:color w:val="000000"/>
        </w:rPr>
      </w:pPr>
      <w:r>
        <w:rPr>
          <w:b/>
          <w:color w:val="000000"/>
        </w:rPr>
        <w:t>§ 90j</w:t>
      </w:r>
    </w:p>
    <w:p w:rsidR="00F87685" w:rsidRDefault="00906DEF">
      <w:pPr>
        <w:pBdr>
          <w:top w:val="nil"/>
          <w:left w:val="nil"/>
          <w:bottom w:val="nil"/>
          <w:right w:val="nil"/>
          <w:between w:val="nil"/>
        </w:pBdr>
        <w:spacing w:line="240" w:lineRule="auto"/>
        <w:ind w:left="0" w:hanging="2"/>
        <w:jc w:val="center"/>
        <w:rPr>
          <w:color w:val="000000"/>
        </w:rPr>
      </w:pPr>
      <w:r>
        <w:rPr>
          <w:b/>
          <w:color w:val="000000"/>
        </w:rPr>
        <w:t>Výkon ochranné výchovy</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 xml:space="preserve">(1) Soud pro mládež, v jehož obvodu se ochranná výchova vykonává, založí zprávy podle § 90i odst. 1 a 2 do nového spisu v rejstříku </w:t>
      </w:r>
      <w:proofErr w:type="spellStart"/>
      <w:r>
        <w:rPr>
          <w:color w:val="000000"/>
        </w:rPr>
        <w:t>Ntm</w:t>
      </w:r>
      <w:proofErr w:type="spellEnd"/>
      <w:r>
        <w:rPr>
          <w:color w:val="000000"/>
        </w:rPr>
        <w:t>, oddílu „vš</w:t>
      </w:r>
      <w:r w:rsidR="00C269B5">
        <w:rPr>
          <w:color w:val="000000"/>
        </w:rPr>
        <w:t>eobecný“, a spis předloží předsedovi senátu</w:t>
      </w:r>
      <w:r>
        <w:rPr>
          <w:color w:val="000000"/>
        </w:rPr>
        <w:t xml:space="preserve"> ke zvážení dalšího postupu. Tento spis se vyřídí způsobem „jinak“ s datem </w:t>
      </w:r>
      <w:r>
        <w:rPr>
          <w:color w:val="000000"/>
        </w:rPr>
        <w:lastRenderedPageBreak/>
        <w:t xml:space="preserve">vyřízení a datem právní moci dnem, kdy </w:t>
      </w:r>
      <w:r>
        <w:t>předseda senátu</w:t>
      </w:r>
      <w:r>
        <w:rPr>
          <w:color w:val="000000"/>
        </w:rPr>
        <w:t xml:space="preserve"> vzal uvedené zprávy na vědomí, případně </w:t>
      </w:r>
      <w:r>
        <w:t>stanovil</w:t>
      </w:r>
      <w:r>
        <w:rPr>
          <w:color w:val="000000"/>
        </w:rPr>
        <w:t xml:space="preserve"> další postup. Další periodické zprávy podle § 90i se zakládají do téhož spisu a předkládají </w:t>
      </w:r>
      <w:r w:rsidR="00C269B5">
        <w:rPr>
          <w:color w:val="000000"/>
        </w:rPr>
        <w:t>předsedovi senátu</w:t>
      </w:r>
      <w:r>
        <w:rPr>
          <w:color w:val="000000"/>
        </w:rPr>
        <w:t xml:space="preserve"> </w:t>
      </w:r>
      <w:r w:rsidR="00127F54">
        <w:rPr>
          <w:color w:val="000000"/>
        </w:rPr>
        <w:t>po</w:t>
      </w:r>
      <w:r>
        <w:rPr>
          <w:color w:val="000000"/>
        </w:rPr>
        <w:t>dle jeho pokynů.</w:t>
      </w:r>
    </w:p>
    <w:p w:rsidR="00F87685" w:rsidRDefault="00F87685">
      <w:pPr>
        <w:pBdr>
          <w:top w:val="nil"/>
          <w:left w:val="nil"/>
          <w:bottom w:val="nil"/>
          <w:right w:val="nil"/>
          <w:between w:val="nil"/>
        </w:pBdr>
        <w:spacing w:line="240" w:lineRule="auto"/>
        <w:ind w:left="0" w:hanging="2"/>
        <w:jc w:val="both"/>
        <w:rPr>
          <w:color w:val="000000"/>
        </w:rPr>
      </w:pPr>
    </w:p>
    <w:p w:rsidR="00F87685" w:rsidRDefault="006E65BC">
      <w:pPr>
        <w:pBdr>
          <w:top w:val="nil"/>
          <w:left w:val="nil"/>
          <w:bottom w:val="nil"/>
          <w:right w:val="nil"/>
          <w:between w:val="nil"/>
        </w:pBdr>
        <w:spacing w:line="240" w:lineRule="auto"/>
        <w:ind w:left="0" w:hanging="2"/>
        <w:jc w:val="both"/>
        <w:rPr>
          <w:color w:val="000000"/>
        </w:rPr>
      </w:pPr>
      <w:r>
        <w:rPr>
          <w:color w:val="000000"/>
        </w:rPr>
        <w:tab/>
      </w:r>
      <w:r w:rsidR="00906DEF">
        <w:rPr>
          <w:color w:val="000000"/>
        </w:rPr>
        <w:tab/>
        <w:t xml:space="preserve">(2) Jestliže bude soud pro mládež rozhodovat o propuštění z ochranné výchovy, podmíněném umístění mimo výchovné zařízení, přeměně ochranné výchovy v ústavní výchovu nebo naopak, případně o prodloužení ochranné výchovy, založí nový spis v rejstříku </w:t>
      </w:r>
      <w:proofErr w:type="spellStart"/>
      <w:r w:rsidR="00906DEF">
        <w:rPr>
          <w:color w:val="000000"/>
        </w:rPr>
        <w:t>Ntm</w:t>
      </w:r>
      <w:proofErr w:type="spellEnd"/>
      <w:r w:rsidR="00906DEF">
        <w:rPr>
          <w:color w:val="000000"/>
        </w:rPr>
        <w:t>, oddílu „výkon ochranné výchovy“, spis podle odstavce 1 k němu trvale připojí, odškrtne a</w:t>
      </w:r>
      <w:r>
        <w:rPr>
          <w:color w:val="000000"/>
        </w:rPr>
        <w:t> </w:t>
      </w:r>
      <w:r w:rsidR="00906DEF">
        <w:rPr>
          <w:color w:val="000000"/>
        </w:rPr>
        <w:t xml:space="preserve">vyznačí vzájemnou souvislost. V opačném případě spis podle odstavce 1 odškrtne po skončení ochranné výchovy.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rPr>
          <w:color w:val="000000"/>
        </w:rPr>
      </w:pPr>
      <w:r>
        <w:rPr>
          <w:color w:val="000000"/>
        </w:rPr>
        <w:t>------------------------------------------</w:t>
      </w:r>
    </w:p>
    <w:p w:rsidR="00F87685" w:rsidRDefault="00906DEF" w:rsidP="006E65BC">
      <w:pPr>
        <w:pBdr>
          <w:top w:val="nil"/>
          <w:left w:val="nil"/>
          <w:bottom w:val="nil"/>
          <w:right w:val="nil"/>
          <w:between w:val="nil"/>
        </w:pBdr>
        <w:spacing w:line="240" w:lineRule="auto"/>
        <w:ind w:left="566" w:hangingChars="284" w:hanging="568"/>
        <w:jc w:val="both"/>
        <w:rPr>
          <w:color w:val="000000"/>
          <w:sz w:val="20"/>
          <w:szCs w:val="20"/>
        </w:rPr>
      </w:pPr>
      <w:r>
        <w:rPr>
          <w:color w:val="000000"/>
          <w:sz w:val="20"/>
          <w:szCs w:val="20"/>
          <w:vertAlign w:val="superscript"/>
        </w:rPr>
        <w:t>73)</w:t>
      </w:r>
      <w:r>
        <w:rPr>
          <w:color w:val="000000"/>
          <w:sz w:val="20"/>
          <w:szCs w:val="20"/>
        </w:rPr>
        <w:t xml:space="preserve"> </w:t>
      </w:r>
      <w:r>
        <w:rPr>
          <w:color w:val="000000"/>
          <w:sz w:val="20"/>
          <w:szCs w:val="20"/>
        </w:rPr>
        <w:tab/>
        <w:t>§ 82 ZSVM</w:t>
      </w:r>
    </w:p>
    <w:p w:rsidR="00F87685" w:rsidRDefault="00906DEF" w:rsidP="006E65BC">
      <w:pPr>
        <w:pBdr>
          <w:top w:val="nil"/>
          <w:left w:val="nil"/>
          <w:bottom w:val="nil"/>
          <w:right w:val="nil"/>
          <w:between w:val="nil"/>
        </w:pBdr>
        <w:spacing w:line="240" w:lineRule="auto"/>
        <w:ind w:leftChars="0" w:left="0" w:firstLineChars="0" w:firstLine="566"/>
        <w:jc w:val="both"/>
        <w:rPr>
          <w:color w:val="000000"/>
          <w:sz w:val="20"/>
          <w:szCs w:val="20"/>
        </w:rPr>
      </w:pPr>
      <w:r>
        <w:rPr>
          <w:color w:val="000000"/>
          <w:sz w:val="20"/>
          <w:szCs w:val="20"/>
        </w:rPr>
        <w:t>§ 44 j. ř.“.</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rsidP="006E65BC">
      <w:pPr>
        <w:pBdr>
          <w:top w:val="nil"/>
          <w:left w:val="nil"/>
          <w:bottom w:val="nil"/>
          <w:right w:val="nil"/>
          <w:between w:val="nil"/>
        </w:pBdr>
        <w:spacing w:line="240" w:lineRule="auto"/>
        <w:ind w:left="567" w:hangingChars="237" w:hanging="569"/>
        <w:jc w:val="both"/>
        <w:rPr>
          <w:color w:val="000000"/>
        </w:rPr>
      </w:pPr>
      <w:r>
        <w:rPr>
          <w:b/>
          <w:color w:val="000000"/>
        </w:rPr>
        <w:t xml:space="preserve">2. </w:t>
      </w:r>
      <w:r>
        <w:rPr>
          <w:b/>
          <w:color w:val="000000"/>
        </w:rPr>
        <w:tab/>
      </w:r>
      <w:r>
        <w:rPr>
          <w:color w:val="000000"/>
        </w:rPr>
        <w:t xml:space="preserve">§ 91 včetně nadpisu zní: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center"/>
        <w:rPr>
          <w:color w:val="000000"/>
        </w:rPr>
      </w:pPr>
      <w:r>
        <w:rPr>
          <w:b/>
          <w:color w:val="000000"/>
        </w:rPr>
        <w:t>„§ 91</w:t>
      </w:r>
    </w:p>
    <w:p w:rsidR="00F87685" w:rsidRDefault="00906DEF">
      <w:pPr>
        <w:pBdr>
          <w:top w:val="nil"/>
          <w:left w:val="nil"/>
          <w:bottom w:val="nil"/>
          <w:right w:val="nil"/>
          <w:between w:val="nil"/>
        </w:pBdr>
        <w:spacing w:line="240" w:lineRule="auto"/>
        <w:ind w:left="0" w:hanging="2"/>
        <w:jc w:val="center"/>
        <w:rPr>
          <w:color w:val="000000"/>
        </w:rPr>
      </w:pPr>
      <w:r>
        <w:rPr>
          <w:b/>
          <w:color w:val="000000"/>
        </w:rPr>
        <w:t>Rozhodnutí o změnách, propuštění či prodloužení výkonu ochranné výchovy</w:t>
      </w:r>
    </w:p>
    <w:p w:rsidR="00F87685" w:rsidRDefault="00F87685">
      <w:pPr>
        <w:pBdr>
          <w:top w:val="nil"/>
          <w:left w:val="nil"/>
          <w:bottom w:val="nil"/>
          <w:right w:val="nil"/>
          <w:between w:val="nil"/>
        </w:pBdr>
        <w:spacing w:line="240" w:lineRule="auto"/>
        <w:ind w:left="0" w:hanging="2"/>
        <w:jc w:val="center"/>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(1) Před rozhodnutím o podmíněném umístění mladistvého mimo výchovné zařízení si </w:t>
      </w:r>
      <w:r>
        <w:t>předseda senátu soudu</w:t>
      </w:r>
      <w:r>
        <w:rPr>
          <w:color w:val="000000"/>
        </w:rPr>
        <w:t xml:space="preserve"> pro mládež opatří podklady nezbytné pro rozhodnutí, zejména aktuální zprávu o chování mladistvého ve výchovném zařízení, o </w:t>
      </w:r>
      <w:r>
        <w:t>stavu</w:t>
      </w:r>
      <w:r>
        <w:rPr>
          <w:color w:val="000000"/>
        </w:rPr>
        <w:t xml:space="preserve"> jeho převýchovy a</w:t>
      </w:r>
      <w:r w:rsidR="006E65BC">
        <w:rPr>
          <w:color w:val="000000"/>
        </w:rPr>
        <w:t> </w:t>
      </w:r>
      <w:r>
        <w:rPr>
          <w:color w:val="000000"/>
        </w:rPr>
        <w:t>o</w:t>
      </w:r>
      <w:r w:rsidR="006E65BC">
        <w:rPr>
          <w:color w:val="000000"/>
        </w:rPr>
        <w:t> </w:t>
      </w:r>
      <w:r>
        <w:rPr>
          <w:color w:val="000000"/>
        </w:rPr>
        <w:t xml:space="preserve">vhodnosti prostředí, kam má být mladistvý podmíněně umístěn.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 xml:space="preserve">(2) Opis rozhodnutí o podmíněném umístění mladistvého mimo výchovné zařízení s doložkou právní moci zašle </w:t>
      </w:r>
      <w:r>
        <w:t xml:space="preserve">předseda senátu </w:t>
      </w:r>
      <w:r>
        <w:rPr>
          <w:color w:val="000000"/>
        </w:rPr>
        <w:t>soudu pro mládež výchovnému zařízení, v němž je ochranná výchova vykonávána, orgánu sociálně-právní ochrany dětí, státnímu zástupci, obhájci</w:t>
      </w:r>
      <w:r>
        <w:t xml:space="preserve"> mladistvého</w:t>
      </w:r>
      <w:r>
        <w:rPr>
          <w:color w:val="000000"/>
        </w:rPr>
        <w:t xml:space="preserve"> a tomu, do jehož péče se mladistvý svěřuje. V případě uloženého dohledu nebo jiných výchovných opatření postupuje soud pro mládež obdobně podle § 56 a § 91a.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(3) Během podmíněného umístění mladistvého mimo výchovné zařízení sleduje předseda senátu soudu pro mládež v součinnosti s orgánem sociálně-právní ochrany dětí, případně probačním úředníkem, chování mladistvého a dodržování podmínek výchovných opatření, pokud byl</w:t>
      </w:r>
      <w:r>
        <w:t>a</w:t>
      </w:r>
      <w:r>
        <w:rPr>
          <w:color w:val="000000"/>
        </w:rPr>
        <w:t xml:space="preserve"> uložen</w:t>
      </w:r>
      <w:r>
        <w:t>a</w:t>
      </w:r>
      <w:r>
        <w:rPr>
          <w:color w:val="000000"/>
        </w:rPr>
        <w:t xml:space="preserve">. </w:t>
      </w:r>
    </w:p>
    <w:p w:rsidR="00F87685" w:rsidRDefault="00F87685">
      <w:pPr>
        <w:pBdr>
          <w:top w:val="nil"/>
          <w:left w:val="nil"/>
          <w:bottom w:val="nil"/>
          <w:right w:val="nil"/>
          <w:between w:val="nil"/>
        </w:pBdr>
        <w:spacing w:line="240" w:lineRule="auto"/>
        <w:ind w:left="0" w:hanging="2"/>
        <w:jc w:val="both"/>
        <w:rPr>
          <w:color w:val="000000"/>
        </w:rPr>
      </w:pPr>
    </w:p>
    <w:p w:rsidR="00F87685" w:rsidRDefault="006E65BC">
      <w:pPr>
        <w:pBdr>
          <w:top w:val="nil"/>
          <w:left w:val="nil"/>
          <w:bottom w:val="nil"/>
          <w:right w:val="nil"/>
          <w:between w:val="nil"/>
        </w:pBdr>
        <w:spacing w:line="240" w:lineRule="auto"/>
        <w:ind w:left="0" w:hanging="2"/>
        <w:jc w:val="both"/>
        <w:rPr>
          <w:color w:val="000000"/>
        </w:rPr>
      </w:pPr>
      <w:r>
        <w:rPr>
          <w:color w:val="000000"/>
        </w:rPr>
        <w:tab/>
      </w:r>
      <w:r w:rsidR="00906DEF">
        <w:rPr>
          <w:color w:val="000000"/>
        </w:rPr>
        <w:tab/>
        <w:t xml:space="preserve">(4) Obdobně podle předchozích odstavců postupuje předseda senátu soudu pro mládež při přeměně ochranné výchovy ve výchovu ústavní, případně naopak. </w:t>
      </w:r>
    </w:p>
    <w:p w:rsidR="00F87685" w:rsidRDefault="00F87685">
      <w:pPr>
        <w:pBdr>
          <w:top w:val="nil"/>
          <w:left w:val="nil"/>
          <w:bottom w:val="nil"/>
          <w:right w:val="nil"/>
          <w:between w:val="nil"/>
        </w:pBdr>
        <w:spacing w:line="240" w:lineRule="auto"/>
        <w:ind w:left="0" w:hanging="2"/>
        <w:jc w:val="both"/>
        <w:rPr>
          <w:color w:val="000000"/>
        </w:rPr>
      </w:pPr>
    </w:p>
    <w:p w:rsidR="00F87685" w:rsidRPr="006E65BC" w:rsidRDefault="00906DEF">
      <w:pPr>
        <w:pBdr>
          <w:top w:val="nil"/>
          <w:left w:val="nil"/>
          <w:bottom w:val="nil"/>
          <w:right w:val="nil"/>
          <w:between w:val="nil"/>
        </w:pBdr>
        <w:spacing w:line="240" w:lineRule="auto"/>
        <w:ind w:left="0" w:hanging="2"/>
        <w:jc w:val="both"/>
      </w:pPr>
      <w:r>
        <w:rPr>
          <w:color w:val="000000"/>
        </w:rPr>
        <w:tab/>
      </w:r>
      <w:r w:rsidR="006E65BC">
        <w:rPr>
          <w:color w:val="000000"/>
        </w:rPr>
        <w:tab/>
      </w:r>
      <w:r>
        <w:rPr>
          <w:color w:val="000000"/>
        </w:rPr>
        <w:t>(5) Pro účely rozhodnutí o propuštění z ochranné výchovy, podmíněném umístění mimo výchovné zařízení, přeměně ochranné výchovy v ústavní výchovu nebo naopak a o prodloužení ochranné výchovy si předseda senátu soudu pro mládež může kromě podkladů podle předchozích odstavců a § 90i odst. 1 a 2 vyžádat i další podklady nezbytné k posouzení, zda účel ochranné výchovy trvá, zejména opis z evidence Rejstříku trestů</w:t>
      </w:r>
      <w:r>
        <w:t>.</w:t>
      </w:r>
      <w:r w:rsidR="006E65BC">
        <w:t xml:space="preserve">“. </w:t>
      </w:r>
    </w:p>
    <w:p w:rsidR="00F87685" w:rsidRDefault="00F87685">
      <w:pPr>
        <w:pBdr>
          <w:top w:val="nil"/>
          <w:left w:val="nil"/>
          <w:bottom w:val="nil"/>
          <w:right w:val="nil"/>
          <w:between w:val="nil"/>
        </w:pBdr>
        <w:spacing w:line="240" w:lineRule="auto"/>
        <w:ind w:left="0" w:hanging="2"/>
        <w:jc w:val="both"/>
        <w:rPr>
          <w:color w:val="FF0000"/>
        </w:rPr>
      </w:pPr>
    </w:p>
    <w:p w:rsidR="00F87685" w:rsidRPr="006E65BC" w:rsidRDefault="00906DEF" w:rsidP="006E65BC">
      <w:pPr>
        <w:pBdr>
          <w:top w:val="nil"/>
          <w:left w:val="nil"/>
          <w:bottom w:val="nil"/>
          <w:right w:val="nil"/>
          <w:between w:val="nil"/>
        </w:pBdr>
        <w:spacing w:line="240" w:lineRule="auto"/>
        <w:ind w:left="567" w:hangingChars="237" w:hanging="569"/>
        <w:jc w:val="both"/>
      </w:pPr>
      <w:r w:rsidRPr="006E65BC">
        <w:rPr>
          <w:b/>
        </w:rPr>
        <w:t>3.</w:t>
      </w:r>
      <w:r w:rsidRPr="006E65BC">
        <w:t xml:space="preserve"> </w:t>
      </w:r>
      <w:r w:rsidRPr="006E65BC">
        <w:tab/>
        <w:t xml:space="preserve">V § 91a odstavec 2 zní: </w:t>
      </w:r>
    </w:p>
    <w:p w:rsidR="00F87685" w:rsidRPr="006E65BC" w:rsidRDefault="00F87685">
      <w:pPr>
        <w:pBdr>
          <w:top w:val="nil"/>
          <w:left w:val="nil"/>
          <w:bottom w:val="nil"/>
          <w:right w:val="nil"/>
          <w:between w:val="nil"/>
        </w:pBdr>
        <w:spacing w:line="240" w:lineRule="auto"/>
        <w:ind w:left="0" w:hanging="2"/>
        <w:jc w:val="both"/>
      </w:pPr>
    </w:p>
    <w:p w:rsidR="00F87685" w:rsidRPr="006E65BC" w:rsidRDefault="006E65BC">
      <w:pPr>
        <w:pBdr>
          <w:top w:val="nil"/>
          <w:left w:val="nil"/>
          <w:bottom w:val="nil"/>
          <w:right w:val="nil"/>
          <w:between w:val="nil"/>
        </w:pBdr>
        <w:spacing w:line="240" w:lineRule="auto"/>
        <w:ind w:left="0" w:hanging="2"/>
        <w:jc w:val="both"/>
      </w:pPr>
      <w:r w:rsidRPr="006E65BC">
        <w:tab/>
      </w:r>
      <w:r w:rsidRPr="006E65BC">
        <w:tab/>
        <w:t>„</w:t>
      </w:r>
      <w:r w:rsidR="00906DEF" w:rsidRPr="006E65BC">
        <w:t>(2) Po právní moci rozsudku, jímž byla dítěti mladšímu 15 let uložena ochranná výchova, postupuje soud přiměřeně po</w:t>
      </w:r>
      <w:r w:rsidRPr="006E65BC">
        <w:t xml:space="preserve">dle § 90i odst. 1 a 2 a § 91.“.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rsidP="006E65BC">
      <w:pPr>
        <w:pBdr>
          <w:top w:val="nil"/>
          <w:left w:val="nil"/>
          <w:bottom w:val="nil"/>
          <w:right w:val="nil"/>
          <w:between w:val="nil"/>
        </w:pBdr>
        <w:spacing w:line="240" w:lineRule="auto"/>
        <w:ind w:left="567" w:hangingChars="237" w:hanging="569"/>
        <w:jc w:val="both"/>
        <w:rPr>
          <w:color w:val="000000"/>
        </w:rPr>
      </w:pPr>
      <w:r>
        <w:rPr>
          <w:b/>
        </w:rPr>
        <w:t>4</w:t>
      </w:r>
      <w:r>
        <w:rPr>
          <w:b/>
          <w:color w:val="000000"/>
        </w:rPr>
        <w:t xml:space="preserve">. </w:t>
      </w:r>
      <w:r>
        <w:rPr>
          <w:b/>
          <w:color w:val="000000"/>
        </w:rPr>
        <w:tab/>
      </w:r>
      <w:r>
        <w:rPr>
          <w:color w:val="000000"/>
        </w:rPr>
        <w:t xml:space="preserve">V § 184 se vkládá nový odstavec 2, který zní: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„(2) Jestliže informační systém soudu neumožňuje předávání dat a dokumentů podle § 162a, soud prvního stupně současně s předložením spisu soudu druhého stupně k rozhodnutí o opravném prostředku zašle do datové schránky elektronický stejnopis napadeného rozhodnutí v editovatelném formátu</w:t>
      </w:r>
      <w:r>
        <w:t xml:space="preserve">. </w:t>
      </w:r>
      <w:r w:rsidRPr="006E65BC">
        <w:t>V případech podle věty první soud druhého stupně současně s</w:t>
      </w:r>
      <w:r w:rsidR="006E65BC">
        <w:t> </w:t>
      </w:r>
      <w:r w:rsidRPr="006E65BC">
        <w:t>vrácením spisu soudu prvního stupně zašle tomuto soudu do datové schránky elektronický stejnopis rozhodnutí o opravném prostředku</w:t>
      </w:r>
      <w:r w:rsidR="006E65BC" w:rsidRPr="006E65BC">
        <w:t xml:space="preserve"> podle § 19a odst. 6</w:t>
      </w:r>
      <w:r w:rsidRPr="006E65BC">
        <w:t xml:space="preserve">.“.  </w:t>
      </w:r>
    </w:p>
    <w:p w:rsidR="00F87685" w:rsidRDefault="00F87685">
      <w:pPr>
        <w:pBdr>
          <w:top w:val="nil"/>
          <w:left w:val="nil"/>
          <w:bottom w:val="nil"/>
          <w:right w:val="nil"/>
          <w:between w:val="nil"/>
        </w:pBdr>
        <w:spacing w:line="240" w:lineRule="auto"/>
        <w:ind w:left="0" w:hanging="2"/>
        <w:jc w:val="both"/>
        <w:rPr>
          <w:color w:val="1F497D"/>
        </w:rPr>
      </w:pPr>
    </w:p>
    <w:p w:rsidR="00F87685" w:rsidRDefault="00906DEF">
      <w:pPr>
        <w:pBdr>
          <w:top w:val="nil"/>
          <w:left w:val="nil"/>
          <w:bottom w:val="nil"/>
          <w:right w:val="nil"/>
          <w:between w:val="nil"/>
        </w:pBdr>
        <w:spacing w:line="240" w:lineRule="auto"/>
        <w:ind w:left="0" w:hanging="2"/>
        <w:jc w:val="both"/>
        <w:rPr>
          <w:color w:val="000000"/>
        </w:rPr>
      </w:pPr>
      <w:r>
        <w:rPr>
          <w:color w:val="000000"/>
        </w:rPr>
        <w:tab/>
      </w:r>
      <w:r w:rsidR="006E65BC">
        <w:rPr>
          <w:color w:val="000000"/>
        </w:rPr>
        <w:tab/>
      </w:r>
      <w:r>
        <w:rPr>
          <w:color w:val="000000"/>
        </w:rPr>
        <w:t>Dosavadní odstavce 2 až 4 se označují jako odstavce 3 až 5.</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rsidP="006E65BC">
      <w:pPr>
        <w:pBdr>
          <w:top w:val="nil"/>
          <w:left w:val="nil"/>
          <w:bottom w:val="nil"/>
          <w:right w:val="nil"/>
          <w:between w:val="nil"/>
        </w:pBdr>
        <w:spacing w:line="240" w:lineRule="auto"/>
        <w:ind w:left="567" w:hangingChars="237" w:hanging="569"/>
        <w:jc w:val="both"/>
        <w:rPr>
          <w:color w:val="000000"/>
        </w:rPr>
      </w:pPr>
      <w:r>
        <w:rPr>
          <w:b/>
        </w:rPr>
        <w:t>5</w:t>
      </w:r>
      <w:r>
        <w:rPr>
          <w:b/>
          <w:color w:val="000000"/>
        </w:rPr>
        <w:t xml:space="preserve">. </w:t>
      </w:r>
      <w:r>
        <w:rPr>
          <w:b/>
          <w:color w:val="000000"/>
        </w:rPr>
        <w:tab/>
      </w:r>
      <w:r>
        <w:rPr>
          <w:color w:val="000000"/>
        </w:rPr>
        <w:t xml:space="preserve">V § 184 odst. 3 se slova „předchozího odstavce“ nahrazují slovy „předchozích odstavců“. </w:t>
      </w:r>
    </w:p>
    <w:p w:rsidR="00F87685" w:rsidRDefault="00F87685">
      <w:pPr>
        <w:pBdr>
          <w:top w:val="nil"/>
          <w:left w:val="nil"/>
          <w:bottom w:val="nil"/>
          <w:right w:val="nil"/>
          <w:between w:val="nil"/>
        </w:pBdr>
        <w:spacing w:line="240" w:lineRule="auto"/>
        <w:ind w:left="0" w:hanging="2"/>
        <w:jc w:val="both"/>
      </w:pPr>
    </w:p>
    <w:p w:rsidR="00F87685" w:rsidRPr="006E65BC" w:rsidRDefault="00906DEF" w:rsidP="006E65BC">
      <w:pPr>
        <w:ind w:left="567" w:hangingChars="237" w:hanging="569"/>
        <w:jc w:val="both"/>
      </w:pPr>
      <w:r>
        <w:rPr>
          <w:b/>
        </w:rPr>
        <w:t xml:space="preserve">6. </w:t>
      </w:r>
      <w:r>
        <w:rPr>
          <w:b/>
        </w:rPr>
        <w:tab/>
      </w:r>
      <w:r>
        <w:t xml:space="preserve">V § 184 odst. 5 </w:t>
      </w:r>
      <w:r w:rsidR="006E65BC">
        <w:t xml:space="preserve">se za větu první vkládají věty </w:t>
      </w:r>
      <w:r w:rsidR="006E65BC" w:rsidRPr="006E65BC">
        <w:t>„</w:t>
      </w:r>
      <w:r w:rsidRPr="006E65BC">
        <w:t>Jestliže informační systém soudu neumožňuje předávání dat a dokumentů podle § 162a Nejvyššímu soudu, současně s</w:t>
      </w:r>
      <w:r w:rsidR="006E65BC">
        <w:t> </w:t>
      </w:r>
      <w:r w:rsidRPr="006E65BC">
        <w:t>předložením dovolání Nejvyššímu soudu zašle soud prvního stupně do datové schránky elektronické stejnopisy rozhodnutí soudu prvního i druhého stupně v editovatelném formátu. Elektronický stejnopis rozhodnutí soudu druhého stupně v editovatelném formátu za tím účelem vyžádá vedoucí soudní kanceláře (rejstříkový vedoucí) soudu prvního stupně bezprostředně po nápadu dovolání k soudu, pokud mu takový stejnopis již dříve nebyl doručen nebo předán postupem podle § 162a. Jestliže má soud prvního stupně k dispozici stejnopis dovolání a vyjádření k němu v elektronické podo</w:t>
      </w:r>
      <w:r w:rsidR="006E65BC" w:rsidRPr="006E65BC">
        <w:t>bě, připojí i</w:t>
      </w:r>
      <w:r w:rsidR="006E65BC">
        <w:t> </w:t>
      </w:r>
      <w:r w:rsidR="006E65BC" w:rsidRPr="006E65BC">
        <w:t xml:space="preserve">tyto dokumenty.“. </w:t>
      </w:r>
    </w:p>
    <w:p w:rsidR="00F87685" w:rsidRDefault="00F87685">
      <w:pPr>
        <w:pBdr>
          <w:top w:val="nil"/>
          <w:left w:val="nil"/>
          <w:bottom w:val="nil"/>
          <w:right w:val="nil"/>
          <w:between w:val="nil"/>
        </w:pBdr>
        <w:spacing w:line="240" w:lineRule="auto"/>
        <w:ind w:left="0" w:hanging="2"/>
        <w:jc w:val="both"/>
        <w:rPr>
          <w:color w:val="000000"/>
        </w:rPr>
      </w:pPr>
    </w:p>
    <w:p w:rsidR="00F87685" w:rsidRDefault="00906DEF">
      <w:pPr>
        <w:keepNext/>
        <w:pBdr>
          <w:top w:val="nil"/>
          <w:left w:val="nil"/>
          <w:bottom w:val="nil"/>
          <w:right w:val="nil"/>
          <w:between w:val="nil"/>
        </w:pBdr>
        <w:spacing w:line="240" w:lineRule="auto"/>
        <w:ind w:left="0" w:hanging="2"/>
        <w:jc w:val="center"/>
        <w:rPr>
          <w:color w:val="000000"/>
        </w:rPr>
      </w:pPr>
      <w:r>
        <w:rPr>
          <w:b/>
          <w:color w:val="000000"/>
        </w:rPr>
        <w:t>ČÁST DRUHÁ</w:t>
      </w:r>
      <w:r>
        <w:rPr>
          <w:b/>
          <w:color w:val="000000"/>
        </w:rPr>
        <w:br/>
        <w:t>Závěrečná ustanovení</w:t>
      </w:r>
    </w:p>
    <w:p w:rsidR="00F87685" w:rsidRDefault="00F87685">
      <w:pPr>
        <w:keepNext/>
        <w:pBdr>
          <w:top w:val="nil"/>
          <w:left w:val="nil"/>
          <w:bottom w:val="nil"/>
          <w:right w:val="nil"/>
          <w:between w:val="nil"/>
        </w:pBdr>
        <w:spacing w:line="240" w:lineRule="auto"/>
        <w:ind w:left="0" w:hanging="2"/>
        <w:jc w:val="center"/>
        <w:rPr>
          <w:color w:val="000000"/>
        </w:rPr>
      </w:pPr>
    </w:p>
    <w:p w:rsidR="00F87685" w:rsidRDefault="00906DEF">
      <w:pPr>
        <w:keepNext/>
        <w:pBdr>
          <w:top w:val="nil"/>
          <w:left w:val="nil"/>
          <w:bottom w:val="nil"/>
          <w:right w:val="nil"/>
          <w:between w:val="nil"/>
        </w:pBdr>
        <w:spacing w:line="240" w:lineRule="auto"/>
        <w:ind w:left="0" w:hanging="2"/>
        <w:jc w:val="center"/>
        <w:rPr>
          <w:color w:val="000000"/>
        </w:rPr>
      </w:pPr>
      <w:r>
        <w:rPr>
          <w:b/>
          <w:color w:val="000000"/>
        </w:rPr>
        <w:t>Čl. II</w:t>
      </w:r>
      <w:r>
        <w:rPr>
          <w:b/>
          <w:color w:val="000000"/>
        </w:rPr>
        <w:br/>
        <w:t>Účinnost</w:t>
      </w:r>
    </w:p>
    <w:p w:rsidR="00F87685" w:rsidRDefault="00F87685">
      <w:pPr>
        <w:keepNext/>
        <w:pBdr>
          <w:top w:val="nil"/>
          <w:left w:val="nil"/>
          <w:bottom w:val="nil"/>
          <w:right w:val="nil"/>
          <w:between w:val="nil"/>
        </w:pBdr>
        <w:spacing w:line="240" w:lineRule="auto"/>
        <w:ind w:left="0" w:hanging="2"/>
        <w:jc w:val="center"/>
        <w:rPr>
          <w:color w:val="000000"/>
        </w:rPr>
      </w:pPr>
    </w:p>
    <w:p w:rsidR="00F87685" w:rsidRDefault="00906DEF">
      <w:pPr>
        <w:keepNext/>
        <w:pBdr>
          <w:top w:val="nil"/>
          <w:left w:val="nil"/>
          <w:bottom w:val="nil"/>
          <w:right w:val="nil"/>
          <w:between w:val="nil"/>
        </w:pBdr>
        <w:spacing w:line="240" w:lineRule="auto"/>
        <w:ind w:left="0" w:hanging="2"/>
        <w:jc w:val="both"/>
        <w:rPr>
          <w:color w:val="000000"/>
        </w:rPr>
      </w:pPr>
      <w:r>
        <w:rPr>
          <w:color w:val="000000"/>
        </w:rPr>
        <w:t>Tato instrukce nabývá účinnosti dnem 1. března 2021</w:t>
      </w:r>
    </w:p>
    <w:p w:rsidR="00F87685" w:rsidRDefault="00F87685">
      <w:pPr>
        <w:keepNext/>
        <w:pBdr>
          <w:top w:val="nil"/>
          <w:left w:val="nil"/>
          <w:bottom w:val="nil"/>
          <w:right w:val="nil"/>
          <w:between w:val="nil"/>
        </w:pBdr>
        <w:spacing w:line="240" w:lineRule="auto"/>
        <w:ind w:left="0" w:hanging="2"/>
        <w:jc w:val="both"/>
        <w:rPr>
          <w:color w:val="000000"/>
        </w:rPr>
      </w:pPr>
    </w:p>
    <w:p w:rsidR="00F87685" w:rsidRDefault="00F87685">
      <w:pPr>
        <w:keepNext/>
        <w:pBdr>
          <w:top w:val="nil"/>
          <w:left w:val="nil"/>
          <w:bottom w:val="nil"/>
          <w:right w:val="nil"/>
          <w:between w:val="nil"/>
        </w:pBdr>
        <w:spacing w:line="240" w:lineRule="auto"/>
        <w:ind w:left="0" w:hanging="2"/>
        <w:jc w:val="both"/>
        <w:rPr>
          <w:color w:val="000000"/>
        </w:rPr>
      </w:pPr>
    </w:p>
    <w:p w:rsidR="00F87685" w:rsidRDefault="00906DEF">
      <w:pPr>
        <w:keepNext/>
        <w:pBdr>
          <w:top w:val="nil"/>
          <w:left w:val="nil"/>
          <w:bottom w:val="nil"/>
          <w:right w:val="nil"/>
          <w:between w:val="nil"/>
        </w:pBdr>
        <w:spacing w:line="240" w:lineRule="auto"/>
        <w:ind w:left="0" w:hanging="2"/>
        <w:jc w:val="both"/>
        <w:rPr>
          <w:color w:val="000000"/>
        </w:rPr>
      </w:pPr>
      <w:r>
        <w:rPr>
          <w:b/>
          <w:color w:val="000000"/>
        </w:rPr>
        <w:t xml:space="preserve">                                   </w:t>
      </w:r>
    </w:p>
    <w:p w:rsidR="00F87685" w:rsidRDefault="00906DEF" w:rsidP="006E65BC">
      <w:pPr>
        <w:pBdr>
          <w:top w:val="nil"/>
          <w:left w:val="nil"/>
          <w:bottom w:val="nil"/>
          <w:right w:val="nil"/>
          <w:between w:val="nil"/>
        </w:pBdr>
        <w:spacing w:line="240" w:lineRule="auto"/>
        <w:ind w:left="0" w:hanging="2"/>
        <w:jc w:val="right"/>
        <w:rPr>
          <w:color w:val="000000"/>
        </w:rPr>
      </w:pPr>
      <w:r>
        <w:rPr>
          <w:color w:val="000000"/>
        </w:rPr>
        <w:t xml:space="preserve">                                    ministryně spravedlnosti</w:t>
      </w:r>
    </w:p>
    <w:p w:rsidR="00F87685" w:rsidRDefault="00F87685">
      <w:pPr>
        <w:pBdr>
          <w:top w:val="nil"/>
          <w:left w:val="nil"/>
          <w:bottom w:val="nil"/>
          <w:right w:val="nil"/>
          <w:between w:val="nil"/>
        </w:pBdr>
        <w:spacing w:line="240" w:lineRule="auto"/>
        <w:ind w:left="0" w:hanging="2"/>
        <w:jc w:val="both"/>
        <w:rPr>
          <w:color w:val="000000"/>
        </w:rPr>
      </w:pPr>
    </w:p>
    <w:p w:rsidR="00F87685" w:rsidRDefault="00F87685">
      <w:pPr>
        <w:pBdr>
          <w:top w:val="nil"/>
          <w:left w:val="nil"/>
          <w:bottom w:val="nil"/>
          <w:right w:val="nil"/>
          <w:between w:val="nil"/>
        </w:pBdr>
        <w:spacing w:line="240" w:lineRule="auto"/>
        <w:ind w:left="0" w:hanging="2"/>
        <w:jc w:val="both"/>
        <w:rPr>
          <w:color w:val="000000"/>
        </w:rPr>
      </w:pPr>
    </w:p>
    <w:p w:rsidR="00F87685" w:rsidRDefault="00F87685">
      <w:pPr>
        <w:ind w:left="0" w:hanging="2"/>
        <w:jc w:val="both"/>
        <w:rPr>
          <w:color w:val="FF0000"/>
        </w:rPr>
      </w:pPr>
    </w:p>
    <w:sectPr w:rsidR="00F87685">
      <w:headerReference w:type="default" r:id="rId8"/>
      <w:footerReference w:type="even" r:id="rId9"/>
      <w:footerReference w:type="default" r:id="rId10"/>
      <w:headerReference w:type="first" r:id="rId11"/>
      <w:footerReference w:type="first" r:id="rId12"/>
      <w:pgSz w:w="11906" w:h="16838"/>
      <w:pgMar w:top="1418" w:right="1418" w:bottom="1418" w:left="1418" w:header="992" w:footer="85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DEF" w:rsidRDefault="00906DEF">
      <w:pPr>
        <w:spacing w:line="240" w:lineRule="auto"/>
        <w:ind w:left="0" w:hanging="2"/>
      </w:pPr>
      <w:r>
        <w:separator/>
      </w:r>
    </w:p>
  </w:endnote>
  <w:endnote w:type="continuationSeparator" w:id="0">
    <w:p w:rsidR="00906DEF" w:rsidRDefault="00906DE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85" w:rsidRDefault="00906DEF">
    <w:pPr>
      <w:pBdr>
        <w:top w:val="nil"/>
        <w:left w:val="nil"/>
        <w:bottom w:val="nil"/>
        <w:right w:val="nil"/>
        <w:between w:val="nil"/>
      </w:pBdr>
      <w:tabs>
        <w:tab w:val="center" w:pos="4536"/>
        <w:tab w:val="right" w:pos="9072"/>
      </w:tabs>
      <w:spacing w:line="240" w:lineRule="auto"/>
      <w:ind w:left="0" w:hanging="2"/>
      <w:rPr>
        <w:color w:val="000000"/>
      </w:rPr>
    </w:pPr>
    <w:r>
      <w:rPr>
        <w:color w:val="000000"/>
      </w:rPr>
      <w:fldChar w:fldCharType="begin"/>
    </w:r>
    <w:r>
      <w:rPr>
        <w:color w:val="000000"/>
      </w:rPr>
      <w:instrText>PAGE</w:instrText>
    </w:r>
    <w:r>
      <w:rPr>
        <w:color w:val="000000"/>
      </w:rPr>
      <w:fldChar w:fldCharType="end"/>
    </w:r>
  </w:p>
  <w:p w:rsidR="00F87685" w:rsidRDefault="00F87685">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85" w:rsidRDefault="00906DEF">
    <w:pPr>
      <w:pBdr>
        <w:top w:val="nil"/>
        <w:left w:val="nil"/>
        <w:bottom w:val="nil"/>
        <w:right w:val="nil"/>
        <w:between w:val="nil"/>
      </w:pBdr>
      <w:tabs>
        <w:tab w:val="center" w:pos="4536"/>
        <w:tab w:val="right" w:pos="9072"/>
      </w:tabs>
      <w:spacing w:line="240" w:lineRule="auto"/>
      <w:ind w:left="0" w:hanging="2"/>
      <w:jc w:val="center"/>
      <w:rPr>
        <w:rFonts w:ascii="Cambria" w:eastAsia="Cambria" w:hAnsi="Cambria" w:cs="Cambria"/>
        <w:color w:val="000000"/>
      </w:rPr>
    </w:pPr>
    <w:r>
      <w:rPr>
        <w:rFonts w:ascii="Cambria" w:eastAsia="Cambria" w:hAnsi="Cambria" w:cs="Cambria"/>
        <w:color w:val="000000"/>
      </w:rPr>
      <w:t>– </w:t>
    </w:r>
    <w:r>
      <w:rPr>
        <w:color w:val="000000"/>
      </w:rPr>
      <w:fldChar w:fldCharType="begin"/>
    </w:r>
    <w:r>
      <w:rPr>
        <w:color w:val="000000"/>
      </w:rPr>
      <w:instrText>PAGE</w:instrText>
    </w:r>
    <w:r>
      <w:rPr>
        <w:color w:val="000000"/>
      </w:rPr>
      <w:fldChar w:fldCharType="separate"/>
    </w:r>
    <w:r w:rsidR="00DB22E8">
      <w:rPr>
        <w:noProof/>
        <w:color w:val="000000"/>
      </w:rPr>
      <w:t>4</w:t>
    </w:r>
    <w:r>
      <w:rPr>
        <w:color w:val="000000"/>
      </w:rPr>
      <w:fldChar w:fldCharType="end"/>
    </w:r>
    <w:r>
      <w:rPr>
        <w:rFonts w:ascii="Cambria" w:eastAsia="Cambria" w:hAnsi="Cambria" w:cs="Cambria"/>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85" w:rsidRDefault="00906DEF">
    <w:pPr>
      <w:pBdr>
        <w:top w:val="nil"/>
        <w:left w:val="nil"/>
        <w:bottom w:val="nil"/>
        <w:right w:val="nil"/>
        <w:between w:val="nil"/>
      </w:pBdr>
      <w:tabs>
        <w:tab w:val="center" w:pos="4536"/>
        <w:tab w:val="right" w:pos="9072"/>
      </w:tabs>
      <w:spacing w:line="240" w:lineRule="auto"/>
      <w:ind w:left="0" w:hanging="2"/>
      <w:jc w:val="center"/>
      <w:rPr>
        <w:rFonts w:ascii="Cambria" w:eastAsia="Cambria" w:hAnsi="Cambria" w:cs="Cambria"/>
        <w:color w:val="000000"/>
      </w:rPr>
    </w:pPr>
    <w:r>
      <w:rPr>
        <w:rFonts w:ascii="Cambria" w:eastAsia="Cambria" w:hAnsi="Cambria" w:cs="Cambria"/>
        <w:color w:val="000000"/>
      </w:rPr>
      <w:t>– </w:t>
    </w:r>
    <w:r>
      <w:rPr>
        <w:color w:val="000000"/>
      </w:rPr>
      <w:fldChar w:fldCharType="begin"/>
    </w:r>
    <w:r>
      <w:rPr>
        <w:color w:val="000000"/>
      </w:rPr>
      <w:instrText>PAGE</w:instrText>
    </w:r>
    <w:r>
      <w:rPr>
        <w:color w:val="000000"/>
      </w:rPr>
      <w:fldChar w:fldCharType="separate"/>
    </w:r>
    <w:r w:rsidR="00DB22E8">
      <w:rPr>
        <w:noProof/>
        <w:color w:val="000000"/>
      </w:rPr>
      <w:t>1</w:t>
    </w:r>
    <w:r>
      <w:rPr>
        <w:color w:val="000000"/>
      </w:rPr>
      <w:fldChar w:fldCharType="end"/>
    </w:r>
    <w:r>
      <w:rPr>
        <w:rFonts w:ascii="Cambria" w:eastAsia="Cambria" w:hAnsi="Cambria" w:cs="Cambria"/>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DEF" w:rsidRDefault="00906DEF">
      <w:pPr>
        <w:spacing w:line="240" w:lineRule="auto"/>
        <w:ind w:left="0" w:hanging="2"/>
      </w:pPr>
      <w:r>
        <w:separator/>
      </w:r>
    </w:p>
  </w:footnote>
  <w:footnote w:type="continuationSeparator" w:id="0">
    <w:p w:rsidR="00906DEF" w:rsidRDefault="00906DE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85" w:rsidRDefault="00906DEF">
    <w:pPr>
      <w:pBdr>
        <w:top w:val="nil"/>
        <w:left w:val="nil"/>
        <w:bottom w:val="nil"/>
        <w:right w:val="nil"/>
        <w:between w:val="nil"/>
      </w:pBdr>
      <w:tabs>
        <w:tab w:val="center" w:pos="4536"/>
        <w:tab w:val="right" w:pos="9072"/>
      </w:tabs>
      <w:spacing w:line="240" w:lineRule="auto"/>
      <w:ind w:left="0" w:hanging="2"/>
      <w:rPr>
        <w:color w:val="000000"/>
        <w:sz w:val="20"/>
        <w:szCs w:val="2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685" w:rsidRDefault="00F87685">
    <w:pPr>
      <w:keepNext/>
      <w:keepLines/>
      <w:pBdr>
        <w:top w:val="nil"/>
        <w:left w:val="nil"/>
        <w:bottom w:val="nil"/>
        <w:right w:val="nil"/>
        <w:between w:val="nil"/>
      </w:pBdr>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30B52"/>
    <w:multiLevelType w:val="multilevel"/>
    <w:tmpl w:val="D4E27370"/>
    <w:lvl w:ilvl="0">
      <w:start w:val="1"/>
      <w:numFmt w:val="decimal"/>
      <w:pStyle w:val="Textodstavce"/>
      <w:lvlText w:val="%1."/>
      <w:lvlJc w:val="left"/>
      <w:pPr>
        <w:tabs>
          <w:tab w:val="num" w:pos="720"/>
        </w:tabs>
        <w:ind w:left="720" w:hanging="720"/>
      </w:pPr>
    </w:lvl>
    <w:lvl w:ilvl="1">
      <w:start w:val="1"/>
      <w:numFmt w:val="decimal"/>
      <w:pStyle w:val="Textpsmene"/>
      <w:lvlText w:val="%2."/>
      <w:lvlJc w:val="left"/>
      <w:pPr>
        <w:tabs>
          <w:tab w:val="num" w:pos="1440"/>
        </w:tabs>
        <w:ind w:left="1440" w:hanging="720"/>
      </w:pPr>
    </w:lvl>
    <w:lvl w:ilvl="2">
      <w:start w:val="1"/>
      <w:numFmt w:val="decimal"/>
      <w:pStyle w:val="Textbodu"/>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85"/>
    <w:rsid w:val="00127F54"/>
    <w:rsid w:val="006E65BC"/>
    <w:rsid w:val="00906DEF"/>
    <w:rsid w:val="00C269B5"/>
    <w:rsid w:val="00DB22E8"/>
    <w:rsid w:val="00F876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C66F"/>
  <w15:docId w15:val="{7C3A66B8-BB77-4C20-BB98-46834DC39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Nadpis1">
    <w:name w:val="heading 1"/>
    <w:basedOn w:val="Normln"/>
    <w:next w:val="Normln"/>
    <w:pPr>
      <w:keepNext/>
      <w:spacing w:before="240" w:after="60"/>
    </w:pPr>
    <w:rPr>
      <w:rFonts w:ascii="Cambria" w:hAnsi="Cambria"/>
      <w:b/>
      <w:bCs/>
      <w:kern w:val="32"/>
      <w:sz w:val="32"/>
      <w:szCs w:val="32"/>
    </w:rPr>
  </w:style>
  <w:style w:type="paragraph" w:styleId="Nadpis2">
    <w:name w:val="heading 2"/>
    <w:basedOn w:val="Normln"/>
    <w:pPr>
      <w:keepNext/>
      <w:jc w:val="center"/>
      <w:outlineLvl w:val="1"/>
    </w:pPr>
    <w:rPr>
      <w:b/>
      <w:bCs/>
    </w:rPr>
  </w:style>
  <w:style w:type="paragraph" w:styleId="Nadpis3">
    <w:name w:val="heading 3"/>
    <w:basedOn w:val="Normln"/>
    <w:next w:val="Normln"/>
    <w:pPr>
      <w:keepNext/>
      <w:outlineLvl w:val="2"/>
    </w:pPr>
    <w:rPr>
      <w:b/>
    </w:rPr>
  </w:style>
  <w:style w:type="paragraph" w:styleId="Nadpis4">
    <w:name w:val="heading 4"/>
    <w:basedOn w:val="Normln"/>
    <w:next w:val="Normln"/>
    <w:pPr>
      <w:keepNext/>
      <w:jc w:val="center"/>
      <w:outlineLvl w:val="3"/>
    </w:pPr>
    <w:rPr>
      <w:b/>
      <w:u w:val="single"/>
    </w:rPr>
  </w:style>
  <w:style w:type="paragraph" w:styleId="Nadpis5">
    <w:name w:val="heading 5"/>
    <w:basedOn w:val="Normln"/>
    <w:next w:val="Normln"/>
    <w:pPr>
      <w:spacing w:before="240" w:after="60"/>
      <w:outlineLvl w:val="4"/>
    </w:pPr>
    <w:rPr>
      <w:b/>
      <w:bCs/>
      <w:i/>
      <w:iCs/>
      <w:sz w:val="26"/>
      <w:szCs w:val="26"/>
    </w:rPr>
  </w:style>
  <w:style w:type="paragraph" w:styleId="Nadpis6">
    <w:name w:val="heading 6"/>
    <w:basedOn w:val="Normln"/>
    <w:next w:val="Normln"/>
    <w:pPr>
      <w:keepNext/>
      <w:keepLines/>
      <w:spacing w:before="200" w:after="40"/>
      <w:outlineLvl w:val="5"/>
    </w:pPr>
    <w:rPr>
      <w:b/>
      <w:sz w:val="20"/>
      <w:szCs w:val="20"/>
    </w:rPr>
  </w:style>
  <w:style w:type="paragraph" w:styleId="Nadpis8">
    <w:name w:val="heading 8"/>
    <w:basedOn w:val="Normln"/>
    <w:next w:val="Normln"/>
    <w:pPr>
      <w:keepNext/>
      <w:spacing w:line="360" w:lineRule="auto"/>
      <w:jc w:val="center"/>
      <w:outlineLvl w:val="7"/>
    </w:pPr>
    <w:rPr>
      <w:sz w:val="32"/>
    </w:rPr>
  </w:style>
  <w:style w:type="paragraph" w:styleId="Nadpis9">
    <w:name w:val="heading 9"/>
    <w:basedOn w:val="Normln"/>
    <w:next w:val="Normln"/>
    <w:pPr>
      <w:keepNext/>
      <w:spacing w:line="360" w:lineRule="auto"/>
      <w:jc w:val="cente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pPr>
      <w:spacing w:before="240" w:after="60"/>
      <w:jc w:val="center"/>
    </w:pPr>
    <w:rPr>
      <w:rFonts w:ascii="Arial" w:hAnsi="Arial"/>
      <w:b/>
      <w:kern w:val="28"/>
      <w:sz w:val="32"/>
    </w:rPr>
  </w:style>
  <w:style w:type="paragraph" w:customStyle="1" w:styleId="ZZZEsster">
    <w:name w:val="ZZZEsster"/>
    <w:basedOn w:val="Normln"/>
    <w:rPr>
      <w:sz w:val="20"/>
      <w:szCs w:val="20"/>
    </w:rPr>
  </w:style>
  <w:style w:type="paragraph" w:styleId="Zkladntext">
    <w:name w:val="Body Text"/>
    <w:basedOn w:val="Normln"/>
    <w:pPr>
      <w:suppressAutoHyphens w:val="0"/>
      <w:spacing w:after="120"/>
    </w:pPr>
    <w:rPr>
      <w:lang w:eastAsia="ar-SA"/>
    </w:rPr>
  </w:style>
  <w:style w:type="paragraph" w:customStyle="1" w:styleId="zkrcenzptenadresa">
    <w:name w:val="zkrcenzptenadresa"/>
    <w:basedOn w:val="Normln"/>
  </w:style>
  <w:style w:type="paragraph" w:styleId="Zpat">
    <w:name w:val="footer"/>
    <w:basedOn w:val="Normln"/>
    <w:pPr>
      <w:tabs>
        <w:tab w:val="center" w:pos="4536"/>
        <w:tab w:val="right" w:pos="9072"/>
      </w:tabs>
      <w:suppressAutoHyphens w:val="0"/>
    </w:pPr>
    <w:rPr>
      <w:lang w:eastAsia="ar-SA"/>
    </w:rPr>
  </w:style>
  <w:style w:type="character" w:styleId="slostrnky">
    <w:name w:val="page number"/>
    <w:basedOn w:val="Standardnpsmoodstavce"/>
    <w:rPr>
      <w:w w:val="100"/>
      <w:position w:val="-1"/>
      <w:effect w:val="none"/>
      <w:vertAlign w:val="baseline"/>
      <w:cs w:val="0"/>
      <w:em w:val="none"/>
    </w:rPr>
  </w:style>
  <w:style w:type="table" w:styleId="Mkatabulky">
    <w:name w:val="Table Grid"/>
    <w:basedOn w:val="Normlntabulka"/>
    <w:pPr>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pPr>
      <w:suppressAutoHyphens w:val="0"/>
      <w:spacing w:after="120"/>
      <w:ind w:left="283"/>
    </w:pPr>
    <w:rPr>
      <w:lang w:eastAsia="ar-SA"/>
    </w:rPr>
  </w:style>
  <w:style w:type="paragraph" w:styleId="Seznam3">
    <w:name w:val="List 3"/>
    <w:basedOn w:val="Normln"/>
    <w:pPr>
      <w:ind w:left="849" w:hanging="283"/>
    </w:pPr>
  </w:style>
  <w:style w:type="paragraph" w:styleId="Textbubliny">
    <w:name w:val="Balloon Text"/>
    <w:basedOn w:val="Normln"/>
    <w:rPr>
      <w:rFonts w:ascii="Tahoma" w:hAnsi="Tahoma" w:cs="Tahoma"/>
      <w:sz w:val="16"/>
      <w:szCs w:val="16"/>
    </w:rPr>
  </w:style>
  <w:style w:type="paragraph" w:customStyle="1" w:styleId="Textparagrafu">
    <w:name w:val="Text paragrafu"/>
    <w:basedOn w:val="Normln"/>
    <w:pPr>
      <w:spacing w:before="240"/>
      <w:ind w:firstLine="425"/>
      <w:jc w:val="both"/>
      <w:outlineLvl w:val="5"/>
    </w:pPr>
    <w:rPr>
      <w:szCs w:val="20"/>
    </w:rPr>
  </w:style>
  <w:style w:type="paragraph" w:customStyle="1" w:styleId="Paragraf">
    <w:name w:val="Paragraf"/>
    <w:basedOn w:val="Normln"/>
    <w:next w:val="Textodstavce"/>
    <w:pPr>
      <w:keepNext/>
      <w:keepLines/>
      <w:spacing w:before="240"/>
      <w:jc w:val="center"/>
      <w:outlineLvl w:val="5"/>
    </w:pPr>
    <w:rPr>
      <w:szCs w:val="20"/>
    </w:rPr>
  </w:style>
  <w:style w:type="paragraph" w:customStyle="1" w:styleId="Textodstavce">
    <w:name w:val="Text odstavce"/>
    <w:basedOn w:val="Normln"/>
    <w:pPr>
      <w:numPr>
        <w:numId w:val="1"/>
      </w:numPr>
      <w:tabs>
        <w:tab w:val="left" w:pos="851"/>
      </w:tabs>
      <w:spacing w:before="120" w:after="120"/>
      <w:ind w:left="-1" w:hanging="1"/>
      <w:jc w:val="both"/>
      <w:outlineLvl w:val="6"/>
    </w:pPr>
    <w:rPr>
      <w:szCs w:val="20"/>
    </w:rPr>
  </w:style>
  <w:style w:type="paragraph" w:customStyle="1" w:styleId="Textbodu">
    <w:name w:val="Text bodu"/>
    <w:basedOn w:val="Normln"/>
    <w:pPr>
      <w:numPr>
        <w:ilvl w:val="2"/>
        <w:numId w:val="1"/>
      </w:numPr>
      <w:ind w:left="-1" w:hanging="1"/>
      <w:jc w:val="both"/>
      <w:outlineLvl w:val="8"/>
    </w:pPr>
    <w:rPr>
      <w:szCs w:val="20"/>
    </w:rPr>
  </w:style>
  <w:style w:type="paragraph" w:customStyle="1" w:styleId="Textpsmene">
    <w:name w:val="Text písmene"/>
    <w:basedOn w:val="Normln"/>
    <w:pPr>
      <w:numPr>
        <w:ilvl w:val="1"/>
        <w:numId w:val="1"/>
      </w:numPr>
      <w:ind w:left="-1" w:hanging="1"/>
      <w:jc w:val="both"/>
      <w:outlineLvl w:val="7"/>
    </w:pPr>
    <w:rPr>
      <w:szCs w:val="20"/>
    </w:rPr>
  </w:style>
  <w:style w:type="character" w:customStyle="1" w:styleId="Odkaznapoznpodarou">
    <w:name w:val="Odkaz na pozn. pod čarou"/>
    <w:rPr>
      <w:w w:val="100"/>
      <w:position w:val="-1"/>
      <w:effect w:val="none"/>
      <w:vertAlign w:val="superscript"/>
      <w:cs w:val="0"/>
      <w:em w:val="none"/>
    </w:rPr>
  </w:style>
  <w:style w:type="paragraph" w:styleId="Textpoznpodarou">
    <w:name w:val="footnote text"/>
    <w:basedOn w:val="Normln"/>
    <w:pPr>
      <w:tabs>
        <w:tab w:val="left" w:pos="425"/>
      </w:tabs>
      <w:ind w:left="425" w:hanging="425"/>
      <w:jc w:val="both"/>
    </w:pPr>
    <w:rPr>
      <w:sz w:val="20"/>
      <w:szCs w:val="20"/>
    </w:rPr>
  </w:style>
  <w:style w:type="character" w:styleId="Znakapoznpodarou">
    <w:name w:val="footnote reference"/>
    <w:rPr>
      <w:w w:val="100"/>
      <w:position w:val="-1"/>
      <w:effect w:val="none"/>
      <w:vertAlign w:val="superscript"/>
      <w:cs w:val="0"/>
      <w:em w:val="none"/>
    </w:rPr>
  </w:style>
  <w:style w:type="paragraph" w:customStyle="1" w:styleId="Nadpisparagrafu">
    <w:name w:val="Nadpis paragrafu"/>
    <w:basedOn w:val="Paragraf"/>
    <w:next w:val="Textodstavce"/>
    <w:rPr>
      <w:b/>
    </w:rPr>
  </w:style>
  <w:style w:type="paragraph" w:customStyle="1" w:styleId="StylPed6b">
    <w:name w:val="Styl Před:  6 b."/>
    <w:basedOn w:val="Textparagrafu"/>
    <w:pPr>
      <w:spacing w:before="120"/>
    </w:pPr>
  </w:style>
  <w:style w:type="paragraph" w:styleId="Seznam">
    <w:name w:val="List"/>
    <w:basedOn w:val="Normln"/>
    <w:pPr>
      <w:ind w:left="283" w:hanging="283"/>
    </w:pPr>
  </w:style>
  <w:style w:type="paragraph" w:customStyle="1" w:styleId="Kancl1">
    <w:name w:val="Kancl1"/>
    <w:basedOn w:val="Normln"/>
    <w:pPr>
      <w:tabs>
        <w:tab w:val="num" w:pos="567"/>
        <w:tab w:val="num" w:pos="720"/>
      </w:tabs>
      <w:spacing w:after="120"/>
      <w:ind w:left="567" w:hanging="567"/>
      <w:jc w:val="both"/>
    </w:pPr>
  </w:style>
  <w:style w:type="paragraph" w:styleId="Seznam2">
    <w:name w:val="List 2"/>
    <w:basedOn w:val="Normln"/>
    <w:pPr>
      <w:ind w:left="566" w:hanging="283"/>
    </w:pPr>
  </w:style>
  <w:style w:type="paragraph" w:styleId="Pokraovnseznamu2">
    <w:name w:val="List Continue 2"/>
    <w:basedOn w:val="Normln"/>
    <w:pPr>
      <w:spacing w:after="120"/>
      <w:ind w:left="566"/>
    </w:pPr>
  </w:style>
  <w:style w:type="paragraph" w:styleId="Zhlav">
    <w:name w:val="header"/>
    <w:basedOn w:val="Normln"/>
    <w:pPr>
      <w:tabs>
        <w:tab w:val="center" w:pos="4536"/>
        <w:tab w:val="right" w:pos="9072"/>
      </w:tabs>
    </w:pPr>
  </w:style>
  <w:style w:type="paragraph" w:styleId="Seznamsodrkami2">
    <w:name w:val="List Bullet 2"/>
    <w:basedOn w:val="Normln"/>
    <w:pPr>
      <w:ind w:firstLine="357"/>
      <w:jc w:val="both"/>
    </w:pPr>
    <w:rPr>
      <w:sz w:val="16"/>
    </w:rPr>
  </w:style>
  <w:style w:type="paragraph" w:styleId="Rozloendokumentu">
    <w:name w:val="Document Map"/>
    <w:basedOn w:val="Normln"/>
    <w:pPr>
      <w:shd w:val="clear" w:color="auto" w:fill="000080"/>
    </w:pPr>
    <w:rPr>
      <w:rFonts w:ascii="Tahoma" w:hAnsi="Tahoma" w:cs="Tahoma"/>
      <w:sz w:val="20"/>
      <w:szCs w:val="20"/>
    </w:rPr>
  </w:style>
  <w:style w:type="character" w:styleId="Hypertextovodkaz">
    <w:name w:val="Hyperlink"/>
    <w:rPr>
      <w:color w:val="0000FF"/>
      <w:w w:val="100"/>
      <w:position w:val="-1"/>
      <w:u w:val="single"/>
      <w:effect w:val="none"/>
      <w:vertAlign w:val="baseline"/>
      <w:cs w:val="0"/>
      <w:em w:val="none"/>
    </w:rPr>
  </w:style>
  <w:style w:type="paragraph" w:styleId="Revize">
    <w:name w:val="Revision"/>
    <w:pPr>
      <w:suppressAutoHyphens/>
      <w:spacing w:line="1" w:lineRule="atLeast"/>
      <w:ind w:leftChars="-1" w:left="-1" w:hangingChars="1" w:hanging="1"/>
      <w:textDirection w:val="btLr"/>
      <w:textAlignment w:val="top"/>
      <w:outlineLvl w:val="0"/>
    </w:pPr>
    <w:rPr>
      <w:position w:val="-1"/>
      <w:sz w:val="24"/>
      <w:szCs w:val="24"/>
    </w:rPr>
  </w:style>
  <w:style w:type="character" w:customStyle="1" w:styleId="ZpatChar">
    <w:name w:val="Zápatí Char"/>
    <w:rPr>
      <w:w w:val="100"/>
      <w:position w:val="-1"/>
      <w:sz w:val="24"/>
      <w:szCs w:val="24"/>
      <w:effect w:val="none"/>
      <w:vertAlign w:val="baseline"/>
      <w:cs w:val="0"/>
      <w:em w:val="none"/>
      <w:lang w:eastAsia="ar-SA"/>
    </w:rPr>
  </w:style>
  <w:style w:type="paragraph" w:customStyle="1" w:styleId="Nvrh">
    <w:name w:val="Návrh"/>
    <w:basedOn w:val="Normln"/>
    <w:next w:val="Normln"/>
    <w:pPr>
      <w:keepNext/>
      <w:keepLines/>
      <w:spacing w:after="240"/>
      <w:jc w:val="center"/>
    </w:pPr>
    <w:rPr>
      <w:spacing w:val="40"/>
      <w:szCs w:val="20"/>
    </w:rPr>
  </w:style>
  <w:style w:type="character" w:customStyle="1" w:styleId="Nadpis1Char">
    <w:name w:val="Nadpis 1 Char"/>
    <w:rPr>
      <w:rFonts w:ascii="Cambria" w:eastAsia="Times New Roman" w:hAnsi="Cambria" w:cs="Times New Roman"/>
      <w:b/>
      <w:bCs/>
      <w:w w:val="100"/>
      <w:kern w:val="32"/>
      <w:position w:val="-1"/>
      <w:sz w:val="32"/>
      <w:szCs w:val="32"/>
      <w:effect w:val="none"/>
      <w:vertAlign w:val="baseline"/>
      <w:cs w:val="0"/>
      <w:em w:val="none"/>
    </w:rPr>
  </w:style>
  <w:style w:type="paragraph" w:styleId="Prosttext">
    <w:name w:val="Plain Text"/>
    <w:basedOn w:val="Normln"/>
    <w:rPr>
      <w:rFonts w:ascii="Courier New" w:hAnsi="Courier New" w:cs="Courier New"/>
      <w:sz w:val="20"/>
      <w:szCs w:val="20"/>
    </w:rPr>
  </w:style>
  <w:style w:type="character" w:customStyle="1" w:styleId="ProsttextChar1">
    <w:name w:val="Prostý text Char1"/>
    <w:rPr>
      <w:rFonts w:ascii="Courier New" w:hAnsi="Courier New" w:cs="Courier New"/>
      <w:w w:val="100"/>
      <w:position w:val="-1"/>
      <w:effect w:val="none"/>
      <w:vertAlign w:val="baseline"/>
      <w:cs w:val="0"/>
      <w:em w:val="none"/>
    </w:rPr>
  </w:style>
  <w:style w:type="character" w:styleId="Siln">
    <w:name w:val="Strong"/>
    <w:rPr>
      <w:b/>
      <w:bCs/>
      <w:w w:val="100"/>
      <w:position w:val="-1"/>
      <w:effect w:val="none"/>
      <w:vertAlign w:val="baseline"/>
      <w:cs w:val="0"/>
      <w:em w:val="none"/>
    </w:rPr>
  </w:style>
  <w:style w:type="paragraph" w:styleId="Odstavecseseznamem">
    <w:name w:val="List Paragraph"/>
    <w:basedOn w:val="Normln"/>
    <w:pPr>
      <w:ind w:left="708"/>
    </w:pPr>
  </w:style>
  <w:style w:type="character" w:customStyle="1" w:styleId="ZkladntextChar">
    <w:name w:val="Základní text Char"/>
    <w:rPr>
      <w:w w:val="100"/>
      <w:position w:val="-1"/>
      <w:sz w:val="24"/>
      <w:szCs w:val="24"/>
      <w:effect w:val="none"/>
      <w:vertAlign w:val="baseline"/>
      <w:cs w:val="0"/>
      <w:em w:val="none"/>
      <w:lang w:eastAsia="ar-SA"/>
    </w:rPr>
  </w:style>
  <w:style w:type="character" w:customStyle="1" w:styleId="CharChar4">
    <w:name w:val="Char Char4"/>
    <w:rPr>
      <w:w w:val="100"/>
      <w:position w:val="-1"/>
      <w:sz w:val="24"/>
      <w:szCs w:val="24"/>
      <w:effect w:val="none"/>
      <w:vertAlign w:val="baseline"/>
      <w:cs w:val="0"/>
      <w:em w:val="none"/>
      <w:lang w:eastAsia="ar-SA"/>
    </w:rPr>
  </w:style>
  <w:style w:type="character" w:customStyle="1" w:styleId="TextpoznpodarouChar">
    <w:name w:val="Text pozn. pod čarou Char"/>
    <w:rPr>
      <w:w w:val="100"/>
      <w:position w:val="-1"/>
      <w:effect w:val="none"/>
      <w:vertAlign w:val="baseline"/>
      <w:cs w:val="0"/>
      <w:em w:val="none"/>
    </w:rPr>
  </w:style>
  <w:style w:type="paragraph" w:customStyle="1" w:styleId="odstavec">
    <w:name w:val="odstavec"/>
    <w:basedOn w:val="Normln"/>
    <w:pPr>
      <w:suppressAutoHyphens w:val="0"/>
      <w:spacing w:before="120"/>
      <w:ind w:firstLine="482"/>
      <w:jc w:val="both"/>
    </w:pPr>
    <w:rPr>
      <w:lang w:eastAsia="ar-SA"/>
    </w:rPr>
  </w:style>
  <w:style w:type="character" w:customStyle="1" w:styleId="ProsttextChar">
    <w:name w:val="Prostý text Char"/>
    <w:rPr>
      <w:rFonts w:ascii="Courier New" w:hAnsi="Courier New"/>
      <w:w w:val="100"/>
      <w:position w:val="-1"/>
      <w:effect w:val="none"/>
      <w:vertAlign w:val="baseline"/>
      <w:cs w:val="0"/>
      <w:em w:val="none"/>
      <w:lang w:bidi="ar-SA"/>
    </w:rPr>
  </w:style>
  <w:style w:type="paragraph" w:styleId="Normlnweb">
    <w:name w:val="Normal (Web)"/>
    <w:basedOn w:val="Normln"/>
  </w:style>
  <w:style w:type="paragraph" w:customStyle="1" w:styleId="nadpiszkona">
    <w:name w:val="nadpis zákona"/>
    <w:basedOn w:val="Normln"/>
    <w:next w:val="Normln"/>
    <w:pPr>
      <w:keepNext/>
      <w:keepLines/>
      <w:spacing w:before="120"/>
      <w:jc w:val="center"/>
    </w:pPr>
    <w:rPr>
      <w:b/>
      <w:szCs w:val="20"/>
    </w:rPr>
  </w:style>
  <w:style w:type="paragraph" w:customStyle="1" w:styleId="Oznaenpozmn">
    <w:name w:val="Označení pozm.n."/>
    <w:basedOn w:val="Normln"/>
    <w:next w:val="Normln"/>
    <w:pPr>
      <w:tabs>
        <w:tab w:val="num" w:pos="720"/>
      </w:tabs>
      <w:spacing w:after="120"/>
      <w:jc w:val="both"/>
    </w:pPr>
    <w:rPr>
      <w:b/>
      <w:szCs w:val="20"/>
    </w:rPr>
  </w:style>
  <w:style w:type="character" w:customStyle="1" w:styleId="Nadpis3Char">
    <w:name w:val="Nadpis 3 Char"/>
    <w:rPr>
      <w:b/>
      <w:w w:val="100"/>
      <w:position w:val="-1"/>
      <w:sz w:val="24"/>
      <w:szCs w:val="24"/>
      <w:effect w:val="none"/>
      <w:vertAlign w:val="baseline"/>
      <w:cs w:val="0"/>
      <w:em w:val="none"/>
    </w:rPr>
  </w:style>
  <w:style w:type="character" w:customStyle="1" w:styleId="Nadpis4Char">
    <w:name w:val="Nadpis 4 Char"/>
    <w:rPr>
      <w:b/>
      <w:w w:val="100"/>
      <w:position w:val="-1"/>
      <w:sz w:val="24"/>
      <w:szCs w:val="24"/>
      <w:u w:val="single"/>
      <w:effect w:val="none"/>
      <w:vertAlign w:val="baseline"/>
      <w:cs w:val="0"/>
      <w:em w:val="none"/>
    </w:rPr>
  </w:style>
  <w:style w:type="character" w:customStyle="1" w:styleId="Nadpis5Char">
    <w:name w:val="Nadpis 5 Char"/>
    <w:rPr>
      <w:b/>
      <w:bCs/>
      <w:i/>
      <w:iCs/>
      <w:w w:val="100"/>
      <w:position w:val="-1"/>
      <w:sz w:val="26"/>
      <w:szCs w:val="26"/>
      <w:effect w:val="none"/>
      <w:vertAlign w:val="baseline"/>
      <w:cs w:val="0"/>
      <w:em w:val="none"/>
    </w:rPr>
  </w:style>
  <w:style w:type="character" w:customStyle="1" w:styleId="Nadpis8Char">
    <w:name w:val="Nadpis 8 Char"/>
    <w:rPr>
      <w:w w:val="100"/>
      <w:position w:val="-1"/>
      <w:sz w:val="32"/>
      <w:szCs w:val="24"/>
      <w:effect w:val="none"/>
      <w:vertAlign w:val="baseline"/>
      <w:cs w:val="0"/>
      <w:em w:val="none"/>
    </w:rPr>
  </w:style>
  <w:style w:type="character" w:customStyle="1" w:styleId="Nadpis9Char">
    <w:name w:val="Nadpis 9 Char"/>
    <w:rPr>
      <w:b/>
      <w:w w:val="100"/>
      <w:position w:val="-1"/>
      <w:sz w:val="28"/>
      <w:szCs w:val="24"/>
      <w:effect w:val="none"/>
      <w:vertAlign w:val="baseline"/>
      <w:cs w:val="0"/>
      <w:em w:val="none"/>
    </w:rPr>
  </w:style>
  <w:style w:type="character" w:customStyle="1" w:styleId="Nadpis2Char">
    <w:name w:val="Nadpis 2 Char"/>
    <w:rPr>
      <w:b/>
      <w:bCs/>
      <w:w w:val="100"/>
      <w:position w:val="-1"/>
      <w:sz w:val="24"/>
      <w:szCs w:val="24"/>
      <w:effect w:val="none"/>
      <w:vertAlign w:val="baseline"/>
      <w:cs w:val="0"/>
      <w:em w:val="none"/>
    </w:rPr>
  </w:style>
  <w:style w:type="character" w:customStyle="1" w:styleId="ZhlavChar">
    <w:name w:val="Záhlaví Char"/>
    <w:rPr>
      <w:w w:val="100"/>
      <w:position w:val="-1"/>
      <w:sz w:val="24"/>
      <w:szCs w:val="24"/>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paragraph" w:styleId="Normlnodsazen">
    <w:name w:val="Normal Indent"/>
    <w:basedOn w:val="Normln"/>
    <w:pPr>
      <w:ind w:left="708"/>
    </w:pPr>
  </w:style>
  <w:style w:type="character" w:customStyle="1" w:styleId="ZkladntextodsazenChar">
    <w:name w:val="Základní text odsazený Char"/>
    <w:rPr>
      <w:w w:val="100"/>
      <w:position w:val="-1"/>
      <w:sz w:val="24"/>
      <w:szCs w:val="24"/>
      <w:effect w:val="none"/>
      <w:vertAlign w:val="baseline"/>
      <w:cs w:val="0"/>
      <w:em w:val="none"/>
      <w:lang w:eastAsia="ar-SA"/>
    </w:rPr>
  </w:style>
  <w:style w:type="character" w:customStyle="1" w:styleId="RozloendokumentuChar">
    <w:name w:val="Rozložení dokumentu Char"/>
    <w:rPr>
      <w:rFonts w:ascii="Tahoma" w:hAnsi="Tahoma" w:cs="Tahoma"/>
      <w:w w:val="100"/>
      <w:position w:val="-1"/>
      <w:effect w:val="none"/>
      <w:shd w:val="clear" w:color="auto" w:fill="000080"/>
      <w:vertAlign w:val="baseline"/>
      <w:cs w:val="0"/>
      <w:em w:val="none"/>
    </w:rPr>
  </w:style>
  <w:style w:type="paragraph" w:customStyle="1" w:styleId="Kancl3">
    <w:name w:val="Kancl3"/>
    <w:basedOn w:val="Normln"/>
    <w:pPr>
      <w:tabs>
        <w:tab w:val="left" w:pos="993"/>
      </w:tabs>
      <w:spacing w:after="120"/>
      <w:ind w:left="993" w:hanging="567"/>
      <w:jc w:val="both"/>
    </w:pPr>
  </w:style>
  <w:style w:type="paragraph" w:customStyle="1" w:styleId="Kancl2">
    <w:name w:val="Kancl2"/>
    <w:basedOn w:val="Kancl1"/>
    <w:pPr>
      <w:ind w:left="0"/>
    </w:pPr>
  </w:style>
  <w:style w:type="paragraph" w:customStyle="1" w:styleId="Vc">
    <w:name w:val="Věc"/>
    <w:basedOn w:val="Zkladntext"/>
    <w:pPr>
      <w:suppressAutoHyphens/>
      <w:spacing w:after="0"/>
      <w:ind w:firstLine="0"/>
      <w:jc w:val="both"/>
    </w:pPr>
    <w:rPr>
      <w:lang w:eastAsia="cs-CZ"/>
    </w:rPr>
  </w:style>
  <w:style w:type="paragraph" w:styleId="Osloven">
    <w:name w:val="Salutation"/>
    <w:basedOn w:val="Normln"/>
    <w:next w:val="Normln"/>
  </w:style>
  <w:style w:type="character" w:customStyle="1" w:styleId="OslovenChar">
    <w:name w:val="Oslovení Char"/>
    <w:rPr>
      <w:w w:val="100"/>
      <w:position w:val="-1"/>
      <w:sz w:val="24"/>
      <w:szCs w:val="24"/>
      <w:effect w:val="none"/>
      <w:vertAlign w:val="baseline"/>
      <w:cs w:val="0"/>
      <w:em w:val="none"/>
    </w:rPr>
  </w:style>
  <w:style w:type="paragraph" w:styleId="Zkladntextodsazen3">
    <w:name w:val="Body Text Indent 3"/>
    <w:basedOn w:val="Normln"/>
    <w:pPr>
      <w:ind w:firstLine="360"/>
      <w:jc w:val="both"/>
    </w:pPr>
  </w:style>
  <w:style w:type="character" w:customStyle="1" w:styleId="Zkladntextodsazen3Char">
    <w:name w:val="Základní text odsazený 3 Char"/>
    <w:rPr>
      <w:w w:val="100"/>
      <w:position w:val="-1"/>
      <w:sz w:val="24"/>
      <w:szCs w:val="24"/>
      <w:effect w:val="none"/>
      <w:vertAlign w:val="baseline"/>
      <w:cs w:val="0"/>
      <w:em w:val="none"/>
    </w:rPr>
  </w:style>
  <w:style w:type="paragraph" w:styleId="Zkladntextodsazen2">
    <w:name w:val="Body Text Indent 2"/>
    <w:basedOn w:val="Normln"/>
    <w:pPr>
      <w:ind w:left="-180" w:firstLine="180"/>
      <w:jc w:val="both"/>
    </w:pPr>
  </w:style>
  <w:style w:type="character" w:customStyle="1" w:styleId="Zkladntextodsazen2Char">
    <w:name w:val="Základní text odsazený 2 Char"/>
    <w:rPr>
      <w:w w:val="100"/>
      <w:position w:val="-1"/>
      <w:sz w:val="24"/>
      <w:szCs w:val="24"/>
      <w:effect w:val="none"/>
      <w:vertAlign w:val="baseline"/>
      <w:cs w:val="0"/>
      <w:em w:val="none"/>
    </w:rPr>
  </w:style>
  <w:style w:type="character" w:customStyle="1" w:styleId="NzevChar">
    <w:name w:val="Název Char"/>
    <w:rPr>
      <w:rFonts w:ascii="Arial" w:hAnsi="Arial"/>
      <w:b/>
      <w:w w:val="100"/>
      <w:kern w:val="28"/>
      <w:position w:val="-1"/>
      <w:sz w:val="32"/>
      <w:szCs w:val="24"/>
      <w:effect w:val="none"/>
      <w:vertAlign w:val="baseline"/>
      <w:cs w:val="0"/>
      <w:em w:val="none"/>
    </w:rPr>
  </w:style>
  <w:style w:type="paragraph" w:styleId="Seznamsodrkami">
    <w:name w:val="List Bullet"/>
    <w:basedOn w:val="Normln"/>
    <w:pPr>
      <w:tabs>
        <w:tab w:val="num" w:pos="2160"/>
      </w:tabs>
      <w:ind w:left="360"/>
      <w:jc w:val="both"/>
    </w:pPr>
    <w:rPr>
      <w:bCs/>
      <w:sz w:val="16"/>
      <w:szCs w:val="16"/>
    </w:rPr>
  </w:style>
  <w:style w:type="paragraph" w:styleId="Zkladntext2">
    <w:name w:val="Body Text 2"/>
    <w:basedOn w:val="Normln"/>
    <w:pPr>
      <w:tabs>
        <w:tab w:val="num" w:pos="2160"/>
      </w:tabs>
      <w:ind w:left="0" w:right="1" w:firstLine="0"/>
      <w:jc w:val="center"/>
    </w:pPr>
    <w:rPr>
      <w:sz w:val="16"/>
    </w:rPr>
  </w:style>
  <w:style w:type="character" w:customStyle="1" w:styleId="Zkladntext2Char">
    <w:name w:val="Základní text 2 Char"/>
    <w:rPr>
      <w:w w:val="100"/>
      <w:position w:val="-1"/>
      <w:sz w:val="16"/>
      <w:szCs w:val="24"/>
      <w:effect w:val="none"/>
      <w:vertAlign w:val="baseline"/>
      <w:cs w:val="0"/>
      <w:em w:val="none"/>
    </w:rPr>
  </w:style>
  <w:style w:type="paragraph" w:styleId="Seznamsodrkami3">
    <w:name w:val="List Bullet 3"/>
    <w:basedOn w:val="Normln"/>
    <w:pPr>
      <w:tabs>
        <w:tab w:val="left" w:pos="708"/>
      </w:tabs>
      <w:ind w:left="566"/>
    </w:pPr>
    <w:rPr>
      <w:sz w:val="16"/>
    </w:rPr>
  </w:style>
  <w:style w:type="paragraph" w:styleId="Zkladntext3">
    <w:name w:val="Body Text 3"/>
    <w:basedOn w:val="Normln"/>
    <w:pPr>
      <w:jc w:val="center"/>
    </w:pPr>
  </w:style>
  <w:style w:type="character" w:customStyle="1" w:styleId="Zkladntext3Char">
    <w:name w:val="Základní text 3 Char"/>
    <w:rPr>
      <w:w w:val="100"/>
      <w:position w:val="-1"/>
      <w:sz w:val="24"/>
      <w:szCs w:val="24"/>
      <w:effect w:val="none"/>
      <w:vertAlign w:val="baseline"/>
      <w:cs w:val="0"/>
      <w:em w:val="none"/>
    </w:rPr>
  </w:style>
  <w:style w:type="paragraph" w:styleId="Pokraovnseznamu">
    <w:name w:val="List Continue"/>
    <w:basedOn w:val="Normln"/>
    <w:pPr>
      <w:spacing w:after="120"/>
      <w:ind w:left="283"/>
    </w:pPr>
  </w:style>
  <w:style w:type="paragraph" w:styleId="Zvr">
    <w:name w:val="Closing"/>
    <w:basedOn w:val="Normln"/>
    <w:pPr>
      <w:ind w:left="4252"/>
    </w:pPr>
  </w:style>
  <w:style w:type="character" w:customStyle="1" w:styleId="ZvrChar">
    <w:name w:val="Závěr Char"/>
    <w:rPr>
      <w:w w:val="100"/>
      <w:position w:val="-1"/>
      <w:sz w:val="24"/>
      <w:szCs w:val="24"/>
      <w:effect w:val="none"/>
      <w:vertAlign w:val="baseline"/>
      <w:cs w:val="0"/>
      <w:em w:val="none"/>
    </w:rPr>
  </w:style>
  <w:style w:type="paragraph" w:customStyle="1" w:styleId="Podpis-nzevspolenosti">
    <w:name w:val="Podpis - název společnosti"/>
    <w:basedOn w:val="Podpis"/>
  </w:style>
  <w:style w:type="paragraph" w:styleId="Podpis">
    <w:name w:val="Signature"/>
    <w:basedOn w:val="Normln"/>
    <w:pPr>
      <w:ind w:left="4252"/>
    </w:pPr>
  </w:style>
  <w:style w:type="character" w:customStyle="1" w:styleId="PodpisChar">
    <w:name w:val="Podpis Char"/>
    <w:rPr>
      <w:w w:val="100"/>
      <w:position w:val="-1"/>
      <w:sz w:val="24"/>
      <w:szCs w:val="24"/>
      <w:effect w:val="none"/>
      <w:vertAlign w:val="baseline"/>
      <w:cs w:val="0"/>
      <w:em w:val="none"/>
    </w:rPr>
  </w:style>
  <w:style w:type="paragraph" w:customStyle="1" w:styleId="Pedpis">
    <w:name w:val="Předpis"/>
    <w:basedOn w:val="Prosttext"/>
    <w:pPr>
      <w:keepNext/>
      <w:spacing w:after="480"/>
      <w:jc w:val="center"/>
      <w:outlineLvl w:val="1"/>
    </w:pPr>
    <w:rPr>
      <w:rFonts w:ascii="Times New Roman" w:eastAsia="MS Mincho" w:hAnsi="Times New Roman"/>
      <w:caps/>
      <w:color w:val="FF0000"/>
      <w:spacing w:val="40"/>
      <w:sz w:val="22"/>
      <w:szCs w:val="16"/>
    </w:rPr>
  </w:style>
  <w:style w:type="character" w:customStyle="1" w:styleId="PedpisChar">
    <w:name w:val="Předpis Char"/>
    <w:rPr>
      <w:caps/>
      <w:color w:val="FF0000"/>
      <w:spacing w:val="40"/>
      <w:w w:val="100"/>
      <w:position w:val="-1"/>
      <w:sz w:val="22"/>
      <w:szCs w:val="16"/>
      <w:effect w:val="none"/>
      <w:vertAlign w:val="baseline"/>
      <w:cs w:val="0"/>
      <w:em w:val="none"/>
    </w:rPr>
  </w:style>
  <w:style w:type="paragraph" w:styleId="Seznam5">
    <w:name w:val="List 5"/>
    <w:basedOn w:val="Normln"/>
    <w:pPr>
      <w:ind w:left="1415" w:hanging="283"/>
    </w:pPr>
  </w:style>
  <w:style w:type="paragraph" w:styleId="Seznam4">
    <w:name w:val="List 4"/>
    <w:basedOn w:val="Normln"/>
    <w:pPr>
      <w:ind w:left="1132" w:hanging="283"/>
    </w:pPr>
  </w:style>
  <w:style w:type="paragraph" w:styleId="Pokraovnseznamu3">
    <w:name w:val="List Continue 3"/>
    <w:basedOn w:val="Normln"/>
    <w:pPr>
      <w:spacing w:after="120"/>
      <w:ind w:left="849"/>
    </w:pPr>
  </w:style>
  <w:style w:type="paragraph" w:customStyle="1" w:styleId="Nzevorgnu">
    <w:name w:val="Název orgánu"/>
    <w:basedOn w:val="Prosttext"/>
    <w:pPr>
      <w:keepNext/>
      <w:spacing w:after="480"/>
      <w:jc w:val="center"/>
      <w:outlineLvl w:val="1"/>
    </w:pPr>
    <w:rPr>
      <w:rFonts w:ascii="Times New Roman" w:eastAsia="MS Mincho" w:hAnsi="Times New Roman"/>
      <w:caps/>
      <w:color w:val="FF0000"/>
      <w:spacing w:val="20"/>
      <w:sz w:val="22"/>
      <w:szCs w:val="16"/>
    </w:rPr>
  </w:style>
  <w:style w:type="character" w:customStyle="1" w:styleId="NzevorgnuChar">
    <w:name w:val="Název orgánu Char"/>
    <w:rPr>
      <w:caps/>
      <w:color w:val="FF0000"/>
      <w:spacing w:val="20"/>
      <w:w w:val="100"/>
      <w:position w:val="-1"/>
      <w:sz w:val="22"/>
      <w:szCs w:val="16"/>
      <w:effect w:val="none"/>
      <w:vertAlign w:val="baseline"/>
      <w:cs w:val="0"/>
      <w:em w:val="none"/>
    </w:rPr>
  </w:style>
  <w:style w:type="paragraph" w:styleId="Obsah1">
    <w:name w:val="toc 1"/>
    <w:basedOn w:val="Normln"/>
    <w:next w:val="Normln"/>
    <w:pPr>
      <w:spacing w:before="120" w:after="120"/>
    </w:pPr>
    <w:rPr>
      <w:rFonts w:ascii="Calibri" w:hAnsi="Calibri"/>
      <w:b/>
      <w:bCs/>
      <w:caps/>
      <w:sz w:val="20"/>
      <w:szCs w:val="20"/>
    </w:rPr>
  </w:style>
  <w:style w:type="paragraph" w:styleId="Obsah2">
    <w:name w:val="toc 2"/>
    <w:basedOn w:val="Normln"/>
    <w:next w:val="Normln"/>
    <w:pPr>
      <w:tabs>
        <w:tab w:val="right" w:leader="dot" w:pos="10194"/>
      </w:tabs>
      <w:ind w:left="240"/>
    </w:pPr>
    <w:rPr>
      <w:b/>
      <w:caps/>
      <w:smallCaps/>
      <w:noProof/>
      <w:sz w:val="20"/>
      <w:szCs w:val="20"/>
    </w:rPr>
  </w:style>
  <w:style w:type="paragraph" w:styleId="Obsah3">
    <w:name w:val="toc 3"/>
    <w:basedOn w:val="Normln"/>
    <w:next w:val="Normln"/>
    <w:pPr>
      <w:ind w:left="480"/>
    </w:pPr>
    <w:rPr>
      <w:rFonts w:ascii="Calibri" w:hAnsi="Calibri"/>
      <w:i/>
      <w:iCs/>
      <w:sz w:val="20"/>
      <w:szCs w:val="20"/>
    </w:rPr>
  </w:style>
  <w:style w:type="paragraph" w:styleId="Obsah4">
    <w:name w:val="toc 4"/>
    <w:basedOn w:val="Normln"/>
    <w:next w:val="Normln"/>
    <w:pPr>
      <w:ind w:left="720"/>
    </w:pPr>
    <w:rPr>
      <w:rFonts w:ascii="Calibri" w:hAnsi="Calibri"/>
      <w:sz w:val="18"/>
      <w:szCs w:val="18"/>
    </w:rPr>
  </w:style>
  <w:style w:type="paragraph" w:styleId="Obsah5">
    <w:name w:val="toc 5"/>
    <w:basedOn w:val="Normln"/>
    <w:next w:val="Normln"/>
    <w:pPr>
      <w:tabs>
        <w:tab w:val="right" w:leader="dot" w:pos="10194"/>
      </w:tabs>
      <w:ind w:left="960"/>
    </w:pPr>
    <w:rPr>
      <w:b/>
      <w:noProof/>
      <w:sz w:val="18"/>
      <w:szCs w:val="18"/>
    </w:rPr>
  </w:style>
  <w:style w:type="paragraph" w:styleId="Obsah6">
    <w:name w:val="toc 6"/>
    <w:basedOn w:val="Normln"/>
    <w:next w:val="Normln"/>
    <w:pPr>
      <w:ind w:left="1200"/>
    </w:pPr>
    <w:rPr>
      <w:rFonts w:ascii="Calibri" w:hAnsi="Calibri"/>
      <w:sz w:val="18"/>
      <w:szCs w:val="18"/>
    </w:rPr>
  </w:style>
  <w:style w:type="paragraph" w:styleId="Obsah7">
    <w:name w:val="toc 7"/>
    <w:basedOn w:val="Normln"/>
    <w:next w:val="Normln"/>
    <w:pPr>
      <w:ind w:left="1440"/>
    </w:pPr>
    <w:rPr>
      <w:rFonts w:ascii="Calibri" w:hAnsi="Calibri"/>
      <w:sz w:val="18"/>
      <w:szCs w:val="18"/>
    </w:rPr>
  </w:style>
  <w:style w:type="paragraph" w:styleId="Obsah8">
    <w:name w:val="toc 8"/>
    <w:basedOn w:val="Normln"/>
    <w:next w:val="Normln"/>
    <w:pPr>
      <w:ind w:left="1680"/>
    </w:pPr>
    <w:rPr>
      <w:rFonts w:ascii="Calibri" w:hAnsi="Calibri"/>
      <w:sz w:val="18"/>
      <w:szCs w:val="18"/>
    </w:rPr>
  </w:style>
  <w:style w:type="paragraph" w:styleId="Obsah9">
    <w:name w:val="toc 9"/>
    <w:basedOn w:val="Normln"/>
    <w:next w:val="Normln"/>
    <w:pPr>
      <w:ind w:left="1920"/>
    </w:pPr>
    <w:rPr>
      <w:rFonts w:ascii="Calibri" w:hAnsi="Calibri"/>
      <w:sz w:val="18"/>
      <w:szCs w:val="18"/>
    </w:rPr>
  </w:style>
  <w:style w:type="paragraph" w:styleId="Nadpisobsahu">
    <w:name w:val="TOC Heading"/>
    <w:basedOn w:val="Nadpis1"/>
    <w:next w:val="Normln"/>
    <w:pPr>
      <w:keepLines/>
      <w:spacing w:before="480" w:after="0" w:line="276" w:lineRule="auto"/>
      <w:outlineLvl w:val="9"/>
    </w:pPr>
    <w:rPr>
      <w:color w:val="365F91"/>
      <w:kern w:val="0"/>
      <w:sz w:val="28"/>
      <w:szCs w:val="28"/>
      <w:lang w:eastAsia="en-US"/>
    </w:rPr>
  </w:style>
  <w:style w:type="character" w:customStyle="1" w:styleId="TextbublinyChar">
    <w:name w:val="Text bubliny Char"/>
    <w:rPr>
      <w:rFonts w:ascii="Tahoma" w:hAnsi="Tahoma" w:cs="Tahoma"/>
      <w:w w:val="100"/>
      <w:position w:val="-1"/>
      <w:sz w:val="16"/>
      <w:szCs w:val="16"/>
      <w:effect w:val="none"/>
      <w:vertAlign w:val="baseline"/>
      <w:cs w:val="0"/>
      <w:em w:val="none"/>
    </w:rPr>
  </w:style>
  <w:style w:type="paragraph" w:styleId="Rejstk1">
    <w:name w:val="index 1"/>
    <w:basedOn w:val="Normln"/>
    <w:next w:val="Normln"/>
    <w:pPr>
      <w:ind w:left="240" w:hanging="240"/>
    </w:pPr>
  </w:style>
  <w:style w:type="character" w:customStyle="1" w:styleId="CharChar11">
    <w:name w:val="Char Char11"/>
    <w:rPr>
      <w:rFonts w:ascii="Cambria" w:hAnsi="Cambria" w:cs="Times New Roman"/>
      <w:b/>
      <w:bCs/>
      <w:w w:val="100"/>
      <w:kern w:val="32"/>
      <w:position w:val="-1"/>
      <w:sz w:val="32"/>
      <w:szCs w:val="32"/>
      <w:effect w:val="none"/>
      <w:vertAlign w:val="baseline"/>
      <w:cs w:val="0"/>
      <w:em w:val="none"/>
      <w:lang w:val="cs-CZ" w:eastAsia="cs-CZ" w:bidi="ar-SA"/>
    </w:rPr>
  </w:style>
  <w:style w:type="character" w:customStyle="1" w:styleId="CharChar8">
    <w:name w:val="Char Char8"/>
    <w:rPr>
      <w:w w:val="100"/>
      <w:position w:val="-1"/>
      <w:sz w:val="24"/>
      <w:szCs w:val="24"/>
      <w:effect w:val="none"/>
      <w:vertAlign w:val="baseline"/>
      <w:cs w:val="0"/>
      <w:em w:val="none"/>
      <w:lang w:val="cs-CZ" w:eastAsia="ar-SA" w:bidi="ar-SA"/>
    </w:rPr>
  </w:style>
  <w:style w:type="paragraph" w:customStyle="1" w:styleId="Odstavecseseznamem1">
    <w:name w:val="Odstavec se seznamem1"/>
    <w:basedOn w:val="Normln"/>
    <w:pPr>
      <w:ind w:left="708"/>
    </w:pPr>
  </w:style>
  <w:style w:type="character" w:styleId="Odkaznakoment">
    <w:name w:val="annotation reference"/>
    <w:rPr>
      <w:w w:val="100"/>
      <w:position w:val="-1"/>
      <w:sz w:val="16"/>
      <w:szCs w:val="16"/>
      <w:effect w:val="none"/>
      <w:vertAlign w:val="baseline"/>
      <w:cs w:val="0"/>
      <w:em w:val="none"/>
    </w:rPr>
  </w:style>
  <w:style w:type="paragraph" w:styleId="Textkomente">
    <w:name w:val="annotation text"/>
    <w:basedOn w:val="Normln"/>
    <w:rPr>
      <w:sz w:val="20"/>
      <w:szCs w:val="20"/>
    </w:rPr>
  </w:style>
  <w:style w:type="character" w:customStyle="1" w:styleId="TextkomenteChar">
    <w:name w:val="Text komentáře Char"/>
    <w:basedOn w:val="Standardnpsmoodstavce"/>
    <w:rPr>
      <w:w w:val="100"/>
      <w:position w:val="-1"/>
      <w:effect w:val="none"/>
      <w:vertAlign w:val="baseline"/>
      <w:cs w:val="0"/>
      <w:em w:val="none"/>
    </w:rPr>
  </w:style>
  <w:style w:type="paragraph" w:styleId="Pedmtkomente">
    <w:name w:val="annotation subject"/>
    <w:basedOn w:val="Textkomente"/>
    <w:next w:val="Textkomente"/>
    <w:rPr>
      <w:b/>
      <w:bCs/>
    </w:rPr>
  </w:style>
  <w:style w:type="character" w:customStyle="1" w:styleId="PedmtkomenteChar">
    <w:name w:val="Předmět komentáře Char"/>
    <w:rPr>
      <w:b/>
      <w:bCs/>
      <w:w w:val="100"/>
      <w:position w:val="-1"/>
      <w:effect w:val="none"/>
      <w:vertAlign w:val="baseline"/>
      <w:cs w:val="0"/>
      <w:em w:val="none"/>
    </w:rPr>
  </w:style>
  <w:style w:type="paragraph" w:customStyle="1" w:styleId="Proloen">
    <w:name w:val="Proložení"/>
    <w:basedOn w:val="Normln"/>
    <w:pPr>
      <w:jc w:val="both"/>
    </w:pPr>
    <w:rPr>
      <w:spacing w:val="60"/>
      <w:sz w:val="26"/>
      <w:szCs w:val="20"/>
    </w:rPr>
  </w:style>
  <w:style w:type="paragraph" w:customStyle="1" w:styleId="msolistparagraph0">
    <w:name w:val="msolistparagraph"/>
    <w:basedOn w:val="Normln"/>
    <w:pPr>
      <w:spacing w:before="100" w:beforeAutospacing="1" w:after="100" w:afterAutospacing="1"/>
    </w:pPr>
  </w:style>
  <w:style w:type="paragraph" w:customStyle="1" w:styleId="msolistparagraphcxspmiddle">
    <w:name w:val="msolistparagraphcxspmiddle"/>
    <w:basedOn w:val="Normln"/>
    <w:pPr>
      <w:spacing w:before="100" w:beforeAutospacing="1" w:after="100" w:afterAutospacing="1"/>
    </w:pPr>
  </w:style>
  <w:style w:type="character" w:customStyle="1" w:styleId="CharChar111">
    <w:name w:val="Char Char111"/>
    <w:rPr>
      <w:rFonts w:ascii="Cambria" w:hAnsi="Cambria" w:cs="Times New Roman"/>
      <w:b/>
      <w:bCs/>
      <w:w w:val="100"/>
      <w:kern w:val="32"/>
      <w:position w:val="-1"/>
      <w:sz w:val="32"/>
      <w:szCs w:val="32"/>
      <w:effect w:val="none"/>
      <w:vertAlign w:val="baseline"/>
      <w:cs w:val="0"/>
      <w:em w:val="none"/>
      <w:lang w:val="cs-CZ" w:eastAsia="cs-CZ" w:bidi="ar-SA"/>
    </w:rPr>
  </w:style>
  <w:style w:type="character" w:customStyle="1" w:styleId="CharChar81">
    <w:name w:val="Char Char81"/>
    <w:rPr>
      <w:w w:val="100"/>
      <w:position w:val="-1"/>
      <w:sz w:val="24"/>
      <w:szCs w:val="24"/>
      <w:effect w:val="none"/>
      <w:vertAlign w:val="baseline"/>
      <w:cs w:val="0"/>
      <w:em w:val="none"/>
      <w:lang w:val="cs-CZ" w:eastAsia="ar-SA" w:bidi="ar-SA"/>
    </w:rPr>
  </w:style>
  <w:style w:type="character" w:customStyle="1" w:styleId="TextvysvtlivekChar">
    <w:name w:val="Text vysvětlivek Char"/>
    <w:rPr>
      <w:w w:val="100"/>
      <w:position w:val="-1"/>
      <w:effect w:val="none"/>
      <w:vertAlign w:val="baseline"/>
      <w:cs w:val="0"/>
      <w:em w:val="none"/>
    </w:rPr>
  </w:style>
  <w:style w:type="paragraph" w:styleId="Textvysvtlivek">
    <w:name w:val="endnote text"/>
    <w:basedOn w:val="Normln"/>
    <w:qFormat/>
    <w:rPr>
      <w:sz w:val="20"/>
      <w:szCs w:val="20"/>
    </w:rPr>
  </w:style>
  <w:style w:type="character" w:customStyle="1" w:styleId="TextvysvtlivekChar1">
    <w:name w:val="Text vysvětlivek Char1"/>
    <w:basedOn w:val="Standardnpsmoodstavce"/>
    <w:rPr>
      <w:w w:val="100"/>
      <w:position w:val="-1"/>
      <w:effect w:val="none"/>
      <w:vertAlign w:val="baseline"/>
      <w:cs w:val="0"/>
      <w:em w:val="none"/>
    </w:rPr>
  </w:style>
  <w:style w:type="paragraph" w:customStyle="1" w:styleId="Denpedpisuaj">
    <w:name w:val="Den předpisu a č.j."/>
    <w:basedOn w:val="Prosttext"/>
    <w:pPr>
      <w:keepNext/>
      <w:spacing w:after="480"/>
      <w:jc w:val="center"/>
      <w:outlineLvl w:val="1"/>
    </w:pPr>
    <w:rPr>
      <w:rFonts w:ascii="Times New Roman" w:eastAsia="MS Mincho" w:hAnsi="Times New Roman"/>
      <w:b/>
      <w:caps/>
      <w:color w:val="FF0000"/>
      <w:spacing w:val="20"/>
      <w:sz w:val="22"/>
      <w:szCs w:val="16"/>
    </w:rPr>
  </w:style>
  <w:style w:type="character" w:customStyle="1" w:styleId="DenpedpisuajChar">
    <w:name w:val="Den předpisu a č.j. Char"/>
    <w:rPr>
      <w:b/>
      <w:caps/>
      <w:color w:val="FF0000"/>
      <w:spacing w:val="20"/>
      <w:w w:val="100"/>
      <w:position w:val="-1"/>
      <w:sz w:val="22"/>
      <w:szCs w:val="16"/>
      <w:effect w:val="none"/>
      <w:vertAlign w:val="baseline"/>
      <w:cs w:val="0"/>
      <w:em w:val="none"/>
    </w:rPr>
  </w:style>
  <w:style w:type="paragraph" w:customStyle="1" w:styleId="slopedpisu">
    <w:name w:val="Číslo předpisu"/>
    <w:basedOn w:val="Prosttext"/>
    <w:pPr>
      <w:keepNext/>
      <w:spacing w:before="60" w:after="60"/>
      <w:jc w:val="center"/>
      <w:outlineLvl w:val="1"/>
    </w:pPr>
    <w:rPr>
      <w:rFonts w:ascii="Arial" w:eastAsia="MS Mincho" w:hAnsi="Arial"/>
      <w:caps/>
      <w:spacing w:val="20"/>
      <w:sz w:val="22"/>
      <w:szCs w:val="16"/>
    </w:rPr>
  </w:style>
  <w:style w:type="character" w:customStyle="1" w:styleId="slopedpisuChar">
    <w:name w:val="Číslo předpisu Char"/>
    <w:rPr>
      <w:rFonts w:ascii="Arial" w:eastAsia="MS Mincho" w:hAnsi="Arial" w:cs="Courier New"/>
      <w:caps/>
      <w:spacing w:val="20"/>
      <w:w w:val="100"/>
      <w:position w:val="-1"/>
      <w:sz w:val="22"/>
      <w:szCs w:val="16"/>
      <w:effect w:val="none"/>
      <w:vertAlign w:val="baseline"/>
      <w:cs w:val="0"/>
      <w:em w:val="none"/>
    </w:rPr>
  </w:style>
  <w:style w:type="paragraph" w:customStyle="1" w:styleId="Nzevpedpisu">
    <w:name w:val="Název předpisu"/>
    <w:basedOn w:val="Prosttext"/>
    <w:pPr>
      <w:keepNext/>
      <w:spacing w:after="480"/>
      <w:jc w:val="center"/>
      <w:outlineLvl w:val="1"/>
    </w:pPr>
    <w:rPr>
      <w:rFonts w:ascii="Times New Roman" w:eastAsia="MS Mincho" w:hAnsi="Times New Roman"/>
      <w:caps/>
      <w:color w:val="FF0000"/>
      <w:spacing w:val="20"/>
      <w:sz w:val="22"/>
      <w:szCs w:val="16"/>
    </w:rPr>
  </w:style>
  <w:style w:type="character" w:customStyle="1" w:styleId="NzevpedpisuChar">
    <w:name w:val="Název předpisu Char"/>
    <w:rPr>
      <w:caps/>
      <w:color w:val="FF0000"/>
      <w:spacing w:val="20"/>
      <w:w w:val="100"/>
      <w:position w:val="-1"/>
      <w:sz w:val="22"/>
      <w:szCs w:val="16"/>
      <w:effect w:val="none"/>
      <w:vertAlign w:val="baseline"/>
      <w:cs w:val="0"/>
      <w:em w:val="none"/>
    </w:rPr>
  </w:style>
  <w:style w:type="paragraph" w:customStyle="1" w:styleId="Poznmka">
    <w:name w:val="Poznámka"/>
    <w:basedOn w:val="Prosttext"/>
    <w:pPr>
      <w:keepNext/>
      <w:spacing w:after="480"/>
      <w:jc w:val="right"/>
      <w:outlineLvl w:val="1"/>
    </w:pPr>
    <w:rPr>
      <w:rFonts w:ascii="Times New Roman" w:eastAsia="MS Mincho" w:hAnsi="Times New Roman"/>
      <w:b/>
      <w:caps/>
      <w:spacing w:val="20"/>
      <w:sz w:val="12"/>
      <w:szCs w:val="12"/>
      <w:vertAlign w:val="superscript"/>
    </w:rPr>
  </w:style>
  <w:style w:type="character" w:customStyle="1" w:styleId="PoznmkaChar">
    <w:name w:val="Poznámka Char"/>
    <w:rPr>
      <w:b/>
      <w:caps/>
      <w:spacing w:val="20"/>
      <w:w w:val="100"/>
      <w:position w:val="-1"/>
      <w:sz w:val="12"/>
      <w:szCs w:val="12"/>
      <w:effect w:val="none"/>
      <w:vertAlign w:val="superscript"/>
      <w:cs w:val="0"/>
      <w:em w:val="none"/>
    </w:rPr>
  </w:style>
  <w:style w:type="paragraph" w:customStyle="1" w:styleId="Textpoznmky">
    <w:name w:val="Text poznámky"/>
    <w:basedOn w:val="Prosttext"/>
    <w:pPr>
      <w:keepNext/>
      <w:spacing w:after="480"/>
      <w:jc w:val="both"/>
      <w:outlineLvl w:val="1"/>
    </w:pPr>
    <w:rPr>
      <w:rFonts w:ascii="Times New Roman" w:eastAsia="MS Mincho" w:hAnsi="Times New Roman"/>
      <w:b/>
      <w:caps/>
      <w:spacing w:val="20"/>
      <w:sz w:val="12"/>
      <w:szCs w:val="12"/>
    </w:rPr>
  </w:style>
  <w:style w:type="character" w:customStyle="1" w:styleId="TextpoznmkyChar">
    <w:name w:val="Text poznámky Char"/>
    <w:rPr>
      <w:b/>
      <w:caps/>
      <w:spacing w:val="20"/>
      <w:w w:val="100"/>
      <w:position w:val="-1"/>
      <w:sz w:val="12"/>
      <w:szCs w:val="12"/>
      <w:effect w:val="none"/>
      <w:vertAlign w:val="baseline"/>
      <w:cs w:val="0"/>
      <w:em w:val="none"/>
    </w:rPr>
  </w:style>
  <w:style w:type="paragraph" w:customStyle="1" w:styleId="1Odstavec">
    <w:name w:val="(1) Odstavec"/>
    <w:basedOn w:val="Normln"/>
    <w:pPr>
      <w:tabs>
        <w:tab w:val="num" w:pos="720"/>
      </w:tabs>
      <w:jc w:val="both"/>
    </w:pPr>
  </w:style>
  <w:style w:type="paragraph" w:customStyle="1" w:styleId="Odstavecsslovnm">
    <w:name w:val="Odstavec s číslováním"/>
    <w:basedOn w:val="Odstavecseseznamem"/>
    <w:pPr>
      <w:tabs>
        <w:tab w:val="num" w:pos="720"/>
      </w:tabs>
    </w:pPr>
    <w:rPr>
      <w:sz w:val="18"/>
      <w:szCs w:val="18"/>
    </w:rPr>
  </w:style>
  <w:style w:type="character" w:customStyle="1" w:styleId="1OdstavecChar">
    <w:name w:val="(1) Odstavec Char"/>
    <w:rPr>
      <w:w w:val="100"/>
      <w:position w:val="-1"/>
      <w:sz w:val="24"/>
      <w:szCs w:val="24"/>
      <w:effect w:val="none"/>
      <w:vertAlign w:val="baseline"/>
      <w:cs w:val="0"/>
      <w:em w:val="none"/>
    </w:rPr>
  </w:style>
  <w:style w:type="character" w:customStyle="1" w:styleId="OdstavecsslovnmChar">
    <w:name w:val="Odstavec s číslováním Char"/>
    <w:rPr>
      <w:w w:val="100"/>
      <w:position w:val="-1"/>
      <w:sz w:val="18"/>
      <w:szCs w:val="18"/>
      <w:effect w:val="none"/>
      <w:vertAlign w:val="baseline"/>
      <w:cs w:val="0"/>
      <w:em w:val="none"/>
    </w:rPr>
  </w:style>
  <w:style w:type="character" w:customStyle="1" w:styleId="iceouttxt26">
    <w:name w:val="iceouttxt26"/>
    <w:rPr>
      <w:w w:val="100"/>
      <w:position w:val="-1"/>
      <w:effect w:val="none"/>
      <w:vertAlign w:val="baseline"/>
      <w:cs w:val="0"/>
      <w:em w:val="none"/>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cCDAV9trfqXS6DLnCGgnD7QkNw==">AMUW2mUsJ2EIPNMikgL2hhZvw9n/xC8MPJP8nTrGSj6rLcHNBl3oXuxOs3rnrDY09K64xLO9bVIKLSDyLHdIrj4CLTYtIyc6hwBcL4tLGHIi+Ytk20+VaJ5px65NBrcSKFJg3VkfvTAB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1618</Words>
  <Characters>9551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Ministerstvo spravedlnosti ČR</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Brandejsová Barbara Mgr.</dc:creator>
  <cp:lastModifiedBy>Vašíček Martin Bc.</cp:lastModifiedBy>
  <cp:revision>4</cp:revision>
  <dcterms:created xsi:type="dcterms:W3CDTF">2021-02-15T09:56:00Z</dcterms:created>
  <dcterms:modified xsi:type="dcterms:W3CDTF">2021-02-25T09:37:00Z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DE">
    <vt:lpwstr>ne</vt:lpwstr>
  </property>
  <property fmtid="{D5CDD505-2E9C-101B-9397-08002B2CF9AE}" pid="3" name="ReadOnly">
    <vt:lpwstr>0</vt:lpwstr>
  </property>
  <property fmtid="{D5CDD505-2E9C-101B-9397-08002B2CF9AE}" pid="4" name="DDEInstanceID">
    <vt:lpwstr>65952</vt:lpwstr>
  </property>
  <property fmtid="{D5CDD505-2E9C-101B-9397-08002B2CF9AE}" pid="5" name="CarovyKod">
    <vt:lpwstr>ne</vt:lpwstr>
  </property>
  <property fmtid="{D5CDD505-2E9C-101B-9397-08002B2CF9AE}" pid="6" name="SledovaniZmen">
    <vt:lpwstr>ne</vt:lpwstr>
  </property>
  <property fmtid="{D5CDD505-2E9C-101B-9397-08002B2CF9AE}" pid="7" name="CarovyKodLeft">
    <vt:lpwstr>15,06</vt:lpwstr>
  </property>
  <property fmtid="{D5CDD505-2E9C-101B-9397-08002B2CF9AE}" pid="8" name="CarovyKodTop">
    <vt:lpwstr>-2</vt:lpwstr>
  </property>
  <property fmtid="{D5CDD505-2E9C-101B-9397-08002B2CF9AE}" pid="9" name="CarovyKodDoAdresy">
    <vt:lpwstr>ne</vt:lpwstr>
  </property>
  <property fmtid="{D5CDD505-2E9C-101B-9397-08002B2CF9AE}" pid="10" name="CarovyKodDoAdresyLeft">
    <vt:lpwstr>12,7</vt:lpwstr>
  </property>
  <property fmtid="{D5CDD505-2E9C-101B-9397-08002B2CF9AE}" pid="11" name="CarovyKodDoAdresyTop">
    <vt:lpwstr>8</vt:lpwstr>
  </property>
  <property fmtid="{D5CDD505-2E9C-101B-9397-08002B2CF9AE}" pid="12" name="CarovyKodDoAdresyStrana">
    <vt:lpwstr>1</vt:lpwstr>
  </property>
  <property fmtid="{D5CDD505-2E9C-101B-9397-08002B2CF9AE}" pid="13" name="ID">
    <vt:lpwstr>8270814</vt:lpwstr>
  </property>
</Properties>
</file>